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77C0" w14:textId="77777777" w:rsidR="00547926" w:rsidRPr="005612D0" w:rsidRDefault="00547926" w:rsidP="00547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5612D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АНАЛІЗ РЕГУЛЯТОРНОГО ВПЛИВУ</w:t>
      </w:r>
    </w:p>
    <w:p w14:paraId="1C0BAD1C" w14:textId="77777777" w:rsidR="00547926" w:rsidRPr="00D03BE3" w:rsidRDefault="00547926" w:rsidP="00547926">
      <w:pPr>
        <w:pStyle w:val="a4"/>
        <w:ind w:firstLine="567"/>
        <w:jc w:val="center"/>
        <w:rPr>
          <w:sz w:val="28"/>
          <w:szCs w:val="28"/>
        </w:rPr>
      </w:pPr>
      <w:r w:rsidRPr="005612D0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наказу </w:t>
      </w:r>
      <w:r w:rsidRPr="00D03BE3">
        <w:rPr>
          <w:sz w:val="28"/>
          <w:szCs w:val="28"/>
        </w:rPr>
        <w:t>Міністерств</w:t>
      </w:r>
      <w:r>
        <w:rPr>
          <w:sz w:val="28"/>
          <w:szCs w:val="28"/>
        </w:rPr>
        <w:t xml:space="preserve">а захисту довкілля та природних ресурсів України «Про внесення змін до Інструкції </w:t>
      </w:r>
      <w:r w:rsidRPr="00D03BE3">
        <w:rPr>
          <w:sz w:val="28"/>
          <w:szCs w:val="28"/>
        </w:rPr>
        <w:t>з ведення електронного обліку деревини</w:t>
      </w:r>
      <w:r>
        <w:rPr>
          <w:sz w:val="28"/>
          <w:szCs w:val="28"/>
        </w:rPr>
        <w:t>»</w:t>
      </w:r>
    </w:p>
    <w:p w14:paraId="06FCD308" w14:textId="77777777" w:rsidR="00547926" w:rsidRPr="005612D0" w:rsidRDefault="00547926" w:rsidP="00547926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38A04E" w14:textId="77777777" w:rsidR="00547926" w:rsidRPr="00D03BE3" w:rsidRDefault="00547926" w:rsidP="00547926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03B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</w:t>
      </w:r>
    </w:p>
    <w:p w14:paraId="136A899F" w14:textId="77777777" w:rsidR="00547926" w:rsidRDefault="00547926" w:rsidP="00947F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13.06.2024 № 689 «Про внесення змін до Порядку проведення моніторингу внутрішнього споживання вітчизняних лісоматеріалів необроблених і контролю за </w:t>
      </w:r>
      <w:proofErr w:type="spellStart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>неперевищенням</w:t>
      </w:r>
      <w:proofErr w:type="spellEnd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обсягу внутрішнього споживання вітчизняних лісоматеріалів необроблених» </w:t>
      </w:r>
      <w:proofErr w:type="spellStart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пункту 8 Порядку проведення моніторингу внутрішнього споживання вітчизняних лісоматеріалів необроблених і контролю за </w:t>
      </w:r>
      <w:proofErr w:type="spellStart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>неперевищенням</w:t>
      </w:r>
      <w:proofErr w:type="spellEnd"/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обсягу внутрішнього споживання вітчизняних лісоматеріалів необроблених, затвердженого постановою Кабінету Міністрів України від 04.12.2019 № 1142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>, якими передбачено, що лісокористувачі вносять до системи обліку деревини інформацію, зокрема про транспортні засоби, якими здійснюється транспортування деревини, разом з фотографіями завантажених транспортних засобів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єдину державну систему електронного обліку деревини</w:t>
      </w:r>
      <w:r w:rsidRPr="005479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2E5A35" w14:textId="77777777" w:rsidR="0017387A" w:rsidRDefault="0017387A" w:rsidP="00947F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Так, відповідно до</w:t>
      </w:r>
      <w:r w:rsidR="00B853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внесених змін, фотографії </w:t>
      </w:r>
      <w:r w:rsidRPr="0017387A">
        <w:rPr>
          <w:rFonts w:ascii="Times New Roman" w:eastAsia="Times New Roman" w:hAnsi="Times New Roman" w:cs="Times New Roman"/>
          <w:sz w:val="28"/>
          <w:szCs w:val="28"/>
          <w:lang w:val="uk-UA"/>
        </w:rPr>
        <w:t>завантажених транспортних засобів зберігаються в системі обліку деревини протягом 14 календарних днів з дня їх внесення до системи.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247A9B8" w14:textId="77777777" w:rsidR="001A1738" w:rsidRPr="001A1738" w:rsidRDefault="00EE5573" w:rsidP="00947F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E55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Пунктом 6 Порядку проведення  моніторингу внутрішнього споживання вітчизняних лісоматеріалів необроблених і контролю за </w:t>
      </w:r>
      <w:proofErr w:type="spellStart"/>
      <w:r w:rsidRPr="00EE55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неперевищенням</w:t>
      </w:r>
      <w:proofErr w:type="spellEnd"/>
      <w:r w:rsidRPr="00EE55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обсягу внутрішнього споживання вітчизняних лісоматеріалів необроблених, затвердженим постановою Кабінету Міністрів України від 04.12.2019 № 1142 визначено, що</w:t>
      </w:r>
      <w:r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A1738" w:rsidRPr="001A1738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лектронний облік деревини ведеться лісокористувачами, крім лісокористувачів, визначених</w:t>
      </w:r>
      <w:r w:rsidR="001A1738"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пунктом 6</w:t>
      </w:r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-4</w:t>
      </w:r>
      <w:r w:rsidR="001A1738" w:rsidRPr="00B4269D">
        <w:rPr>
          <w:rStyle w:val="rvts37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</w:t>
      </w:r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розділу </w:t>
      </w:r>
      <w:r w:rsidR="001A1738"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“Прикінцеві положення” Лісового кодексу України, відповідно до Інструкції з ведення електронного обліку деревини, розробленої </w:t>
      </w:r>
      <w:proofErr w:type="spellStart"/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Держлісагентством</w:t>
      </w:r>
      <w:proofErr w:type="spellEnd"/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затвердженої наказом </w:t>
      </w:r>
      <w:proofErr w:type="spellStart"/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Міндовкілля</w:t>
      </w:r>
      <w:proofErr w:type="spellEnd"/>
      <w:r w:rsidR="001A1738" w:rsidRPr="001A1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246967E" w14:textId="77777777" w:rsidR="001A1738" w:rsidRDefault="00EE5573" w:rsidP="001A1738">
      <w:pPr>
        <w:spacing w:after="0" w:line="240" w:lineRule="auto"/>
        <w:ind w:firstLine="425"/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Таким чином, виникає необхідність у внесенні змін до </w:t>
      </w:r>
      <w:r w:rsidR="001A1738" w:rsidRPr="001A173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Інструкці</w:t>
      </w:r>
      <w:r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1A1738" w:rsidRPr="001A173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ведення електронного обліку деревини, затверджена наказом Міністерства захисту довкілля та природних ресурсів України від 27.09.2021</w:t>
      </w:r>
      <w:r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A1738" w:rsidRPr="001A1738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621, зареєстрованим в Міністерстві юстиції України 13.10.2021 за № 1343/36965 (далі - Інструкція).</w:t>
      </w:r>
    </w:p>
    <w:p w14:paraId="39081E6B" w14:textId="77777777" w:rsidR="00685306" w:rsidRDefault="00685306" w:rsidP="0068530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Вказан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і зміни</w:t>
      </w:r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виключ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ать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будь-які маніпуляції при перевезенні заготовленої деревини, що в свою чергу буде сприяти боротьбі з незаконними рубками, тіньовим обігом деревини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посилить державний контроль за транспортуванням деревини та вдосконалять договірні відносини відповідно до чинного законодавства.</w:t>
      </w:r>
    </w:p>
    <w:p w14:paraId="0783B3A9" w14:textId="77777777" w:rsidR="0049096F" w:rsidRDefault="00685306" w:rsidP="00685306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</w:p>
    <w:p w14:paraId="62900421" w14:textId="77777777" w:rsidR="00685306" w:rsidRPr="00685306" w:rsidRDefault="00685306" w:rsidP="00685306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685306">
        <w:rPr>
          <w:rFonts w:ascii="Times New Roman" w:hAnsi="Times New Roman"/>
          <w:sz w:val="28"/>
          <w:szCs w:val="28"/>
          <w:shd w:val="clear" w:color="auto" w:fill="FFFFFF"/>
        </w:rPr>
        <w:t>Основні групи (підгрупи), на які проблема справляє вплив:</w:t>
      </w:r>
    </w:p>
    <w:tbl>
      <w:tblPr>
        <w:tblW w:w="90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19"/>
        <w:gridCol w:w="1433"/>
        <w:gridCol w:w="1378"/>
      </w:tblGrid>
      <w:tr w:rsidR="00685306" w:rsidRPr="00685306" w14:paraId="4336FCC9" w14:textId="77777777" w:rsidTr="00867ECA">
        <w:trPr>
          <w:trHeight w:val="20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467F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Групи (підгрупи)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E2D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FE9A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Ні</w:t>
            </w:r>
          </w:p>
        </w:tc>
      </w:tr>
      <w:tr w:rsidR="00685306" w:rsidRPr="00685306" w14:paraId="6AB1F3F3" w14:textId="77777777" w:rsidTr="00867ECA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969E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FEF2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51B1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685306" w:rsidRPr="00685306" w14:paraId="48465E6E" w14:textId="77777777" w:rsidTr="00867ECA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ACD5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Держава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5560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103A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85306" w:rsidRPr="00685306" w14:paraId="517FD043" w14:textId="77777777" w:rsidTr="00867ECA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883D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Суб’єкти господарювання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63AE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C3AF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85306" w:rsidRPr="00685306" w14:paraId="0A0DB976" w14:textId="77777777" w:rsidTr="00867ECA">
        <w:trPr>
          <w:trHeight w:val="25"/>
          <w:jc w:val="center"/>
        </w:trPr>
        <w:tc>
          <w:tcPr>
            <w:tcW w:w="6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8351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тому числі суб’єкти малого підприємництва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8042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48E9" w14:textId="77777777" w:rsidR="00685306" w:rsidRPr="00685306" w:rsidRDefault="00685306" w:rsidP="00685306">
            <w:pPr>
              <w:pStyle w:val="a6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853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</w:tbl>
    <w:p w14:paraId="4B909ACA" w14:textId="77777777" w:rsidR="00685306" w:rsidRDefault="00685306" w:rsidP="00947F22">
      <w:pPr>
        <w:pStyle w:val="a6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306">
        <w:rPr>
          <w:rFonts w:ascii="Times New Roman" w:hAnsi="Times New Roman"/>
          <w:sz w:val="28"/>
          <w:szCs w:val="28"/>
          <w:shd w:val="clear" w:color="auto" w:fill="FFFFFF"/>
        </w:rPr>
        <w:t>Врегулювання зазначеної проблеми не може бути здійснено за допомогою:</w:t>
      </w:r>
    </w:p>
    <w:p w14:paraId="058F16B2" w14:textId="77777777" w:rsidR="00685306" w:rsidRPr="00685306" w:rsidRDefault="00685306" w:rsidP="00947F22">
      <w:pPr>
        <w:pStyle w:val="a6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306">
        <w:rPr>
          <w:rFonts w:ascii="Times New Roman" w:hAnsi="Times New Roman"/>
          <w:sz w:val="28"/>
          <w:szCs w:val="28"/>
          <w:shd w:val="clear" w:color="auto" w:fill="FFFFFF"/>
        </w:rPr>
        <w:t>ринкових механізмів, оскільки такі питання регулюються виключно нормативно-правовими актами;</w:t>
      </w:r>
    </w:p>
    <w:p w14:paraId="5D665FF0" w14:textId="77777777" w:rsidR="00685306" w:rsidRDefault="00685306" w:rsidP="00947F22">
      <w:pPr>
        <w:pStyle w:val="a6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306">
        <w:rPr>
          <w:rFonts w:ascii="Times New Roman" w:hAnsi="Times New Roman"/>
          <w:sz w:val="28"/>
          <w:szCs w:val="28"/>
          <w:shd w:val="clear" w:color="auto" w:fill="FFFFFF"/>
        </w:rPr>
        <w:t>діючих регуляторних актів, оскільки чинним законодавством порушені питання не врегульовані, а діюч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Інструкція не відповідає</w:t>
      </w:r>
      <w:r w:rsidRPr="00685306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85306">
        <w:rPr>
          <w:rFonts w:ascii="Times New Roman" w:hAnsi="Times New Roman"/>
          <w:sz w:val="28"/>
          <w:szCs w:val="28"/>
          <w:shd w:val="clear" w:color="auto" w:fill="FFFFFF"/>
        </w:rPr>
        <w:t xml:space="preserve"> та не передбачає необхідність внесення до системи електронного обліку деревини зображення завантаженого деревиною транспортного засобу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має недосконалість у договірних правовідносинах</w:t>
      </w:r>
      <w:r w:rsidRPr="006853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B7B59A6" w14:textId="77777777" w:rsidR="00947F22" w:rsidRDefault="00947F22" w:rsidP="00947F2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2AF885" w14:textId="77777777" w:rsidR="00947F22" w:rsidRPr="00B4269D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регулювання</w:t>
      </w:r>
      <w:proofErr w:type="spellEnd"/>
    </w:p>
    <w:p w14:paraId="398CB72C" w14:textId="77777777" w:rsidR="00947F22" w:rsidRPr="00B4269D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Основними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цілями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державного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регулювання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є:</w:t>
      </w:r>
    </w:p>
    <w:p w14:paraId="665BD6F1" w14:textId="77777777" w:rsidR="00947F22" w:rsidRPr="00B4269D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відображення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лектронного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обліку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деревини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зображення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завантаженого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деревиною транспортного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засобу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транспортуванні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деревини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C51D216" w14:textId="77777777" w:rsidR="00947F22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унеможливлення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маніпуляцій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перевезенні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заготовленої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деревини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F57D79" w14:textId="77777777" w:rsidR="00947F22" w:rsidRPr="00947F22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удосконалення вимог до оформлення договорів (контрактів); </w:t>
      </w:r>
    </w:p>
    <w:p w14:paraId="79DB3896" w14:textId="77777777" w:rsidR="00947F22" w:rsidRPr="00B4269D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боротьба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незаконними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рубками, </w:t>
      </w: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тіньовим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обігом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деревини</w:t>
      </w:r>
      <w:proofErr w:type="spellEnd"/>
      <w:r w:rsidRPr="00B4269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A16C415" w14:textId="77777777" w:rsidR="00947F22" w:rsidRPr="00B4269D" w:rsidRDefault="00947F22" w:rsidP="0094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транспортування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заготовленої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деревини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D418F" w14:textId="77777777" w:rsidR="00B67DF3" w:rsidRDefault="00B67DF3" w:rsidP="00947F22">
      <w:pPr>
        <w:spacing w:line="240" w:lineRule="auto"/>
        <w:ind w:firstLine="4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78BBF4" w14:textId="77777777" w:rsidR="00947F22" w:rsidRPr="00B4269D" w:rsidRDefault="00947F22" w:rsidP="00947F22">
      <w:pPr>
        <w:spacing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Визначення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оцінка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альтернативних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способів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цілей</w:t>
      </w:r>
      <w:proofErr w:type="spellEnd"/>
      <w:proofErr w:type="gramEnd"/>
    </w:p>
    <w:p w14:paraId="3ACF518A" w14:textId="77777777" w:rsidR="00947F22" w:rsidRPr="00B4269D" w:rsidRDefault="00947F22" w:rsidP="00947F22">
      <w:pPr>
        <w:spacing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способів</w:t>
      </w:r>
      <w:proofErr w:type="spellEnd"/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6804"/>
      </w:tblGrid>
      <w:tr w:rsidR="00947F22" w:rsidRPr="00B4269D" w14:paraId="20E9DD83" w14:textId="77777777" w:rsidTr="0049096F">
        <w:trPr>
          <w:trHeight w:val="46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E310" w14:textId="77777777" w:rsidR="00947F22" w:rsidRPr="00B4269D" w:rsidRDefault="00947F22" w:rsidP="00867ECA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C50A" w14:textId="77777777" w:rsidR="00947F22" w:rsidRPr="00B4269D" w:rsidRDefault="00947F22" w:rsidP="00867ECA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</w:tr>
      <w:tr w:rsidR="00947F22" w:rsidRPr="00B4269D" w14:paraId="6D1624E2" w14:textId="77777777" w:rsidTr="0049096F">
        <w:trPr>
          <w:trHeight w:val="1038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AC01" w14:textId="77777777" w:rsidR="00947F22" w:rsidRPr="002E6F18" w:rsidRDefault="00947F22" w:rsidP="002E6F18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Альтернатива</w:t>
            </w:r>
            <w:r w:rsidR="002E6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="002E6F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6BCB" w14:textId="77777777" w:rsidR="00947F22" w:rsidRPr="00B4269D" w:rsidRDefault="00947F22" w:rsidP="00867ECA">
            <w:pPr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F22" w:rsidRPr="00B4269D" w14:paraId="22100CE5" w14:textId="77777777" w:rsidTr="0049096F">
        <w:trPr>
          <w:trHeight w:val="104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DFA7" w14:textId="77777777" w:rsidR="00947F22" w:rsidRPr="00B4269D" w:rsidRDefault="00947F22" w:rsidP="0086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483DAC5C" w14:textId="77777777" w:rsidR="00947F22" w:rsidRPr="006663AD" w:rsidRDefault="00947F22" w:rsidP="00867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2316" w14:textId="77777777" w:rsidR="00947F22" w:rsidRPr="00B4269D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CF0B86A" w14:textId="77777777" w:rsidR="00947F22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Буде:</w:t>
            </w:r>
          </w:p>
          <w:p w14:paraId="39DFA7E8" w14:textId="77777777" w:rsidR="00947F22" w:rsidRPr="00B4269D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лектронного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повне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зображен</w:t>
            </w:r>
            <w:proofErr w:type="spellEnd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ня (</w:t>
            </w:r>
            <w:r w:rsidR="002817E0" w:rsidRP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спереду (кабіну та державний номер автомобіля), збоку (автомобіль та причіп/напівпричіп у разі наявності таких), ззаду (автомобіль і причіп/напівпричіп (у разі наявності) із сортиментом і державним номером) та сортимент із биркою</w:t>
            </w:r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завантаженого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деревиною транспортного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засобу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транспортуванні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43935CA" w14:textId="77777777" w:rsidR="00947F22" w:rsidRPr="00B4269D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маніпуляцій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D15D4D" w14:textId="77777777" w:rsidR="00947F22" w:rsidRPr="00B4269D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боротьб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незаконними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рубками,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тіньовим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обігом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47F5216C" w14:textId="77777777" w:rsidR="00947F22" w:rsidRPr="00B4269D" w:rsidRDefault="00947F22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CB6CCE" w14:textId="77777777" w:rsidR="00685306" w:rsidRPr="00B4269D" w:rsidRDefault="00685306" w:rsidP="0068530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319FCD9" w14:textId="77777777" w:rsidR="006663AD" w:rsidRPr="00B4269D" w:rsidRDefault="006663AD" w:rsidP="006663AD">
      <w:pPr>
        <w:spacing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обраних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способів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</w:p>
    <w:p w14:paraId="1705B46D" w14:textId="77777777" w:rsidR="006663AD" w:rsidRPr="00B4269D" w:rsidRDefault="006663AD" w:rsidP="006663A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на сферу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3779"/>
        <w:gridCol w:w="3057"/>
      </w:tblGrid>
      <w:tr w:rsidR="006663AD" w:rsidRPr="00B4269D" w14:paraId="18A3FE67" w14:textId="77777777" w:rsidTr="0049096F">
        <w:trPr>
          <w:trHeight w:val="52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77CA" w14:textId="77777777" w:rsidR="006663AD" w:rsidRPr="00B4269D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6815" w14:textId="77777777" w:rsidR="006663AD" w:rsidRPr="00B4269D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D675" w14:textId="77777777" w:rsidR="006663AD" w:rsidRPr="00B4269D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</w:p>
        </w:tc>
      </w:tr>
      <w:tr w:rsidR="006663AD" w:rsidRPr="00B4269D" w14:paraId="6BEA2201" w14:textId="77777777" w:rsidTr="0049096F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7C39" w14:textId="77777777" w:rsidR="006663AD" w:rsidRPr="00B4269D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11A18980" w14:textId="77777777" w:rsidR="006663AD" w:rsidRPr="00B4269D" w:rsidRDefault="006663AD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B176" w14:textId="77777777" w:rsidR="006663AD" w:rsidRPr="00B4269D" w:rsidRDefault="006663AD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</w:p>
        </w:tc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0464" w14:textId="77777777" w:rsidR="006663AD" w:rsidRPr="00B4269D" w:rsidRDefault="006663AD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3AD" w:rsidRPr="00B4269D" w14:paraId="6C930E23" w14:textId="77777777" w:rsidTr="0049096F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6A9D" w14:textId="77777777" w:rsidR="006663AD" w:rsidRPr="00B4269D" w:rsidRDefault="006663AD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5331D264" w14:textId="77777777" w:rsidR="006663AD" w:rsidRPr="00B4269D" w:rsidRDefault="00833851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="006663AD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3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="006663AD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3AD"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1980" w14:textId="77777777" w:rsidR="002817E0" w:rsidRPr="00B4269D" w:rsidRDefault="0049096F" w:rsidP="002817E0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="002817E0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абезпечен</w:t>
            </w:r>
            <w:r w:rsidR="002817E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281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7E0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="002817E0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817E0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="002817E0"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7E0" w:rsidRPr="00B4269D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лектронного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повне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зображен</w:t>
            </w:r>
            <w:proofErr w:type="spellEnd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ня (</w:t>
            </w:r>
            <w:r w:rsidR="002817E0" w:rsidRP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спереду (кабіну та </w:t>
            </w:r>
            <w:r w:rsidR="002817E0" w:rsidRP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державний номер автомобіля), збоку (автомобіль та причіп/напівпричіп у разі наявності таких), ззаду (автомобіль і причіп/напівпричіп (у разі наявності) із сортиментом і державним номером) та сортимент із биркою</w:t>
            </w:r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завантаженого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деревиною транспортного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засобу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транспортуванні</w:t>
            </w:r>
            <w:proofErr w:type="spellEnd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 </w:t>
            </w:r>
            <w:proofErr w:type="spellStart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817E0"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D1C0ECD" w14:textId="77777777" w:rsidR="002817E0" w:rsidRPr="00B4269D" w:rsidRDefault="002817E0" w:rsidP="002817E0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маніпуляцій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870BD5F" w14:textId="77777777" w:rsidR="002817E0" w:rsidRPr="00B4269D" w:rsidRDefault="002817E0" w:rsidP="002817E0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боротьб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незаконними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рубками,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тіньовим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обігом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381D9265" w14:textId="77777777" w:rsidR="006663AD" w:rsidRPr="00B4269D" w:rsidRDefault="002817E0" w:rsidP="002817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FEF6" w14:textId="77777777" w:rsidR="006663AD" w:rsidRPr="00B4269D" w:rsidRDefault="006663AD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Відсутні</w:t>
            </w:r>
            <w:proofErr w:type="spellEnd"/>
          </w:p>
        </w:tc>
      </w:tr>
    </w:tbl>
    <w:p w14:paraId="60924EB2" w14:textId="77777777" w:rsidR="00833851" w:rsidRPr="00B4269D" w:rsidRDefault="00833851" w:rsidP="00833851">
      <w:pPr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на сферу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6"/>
        <w:gridCol w:w="4148"/>
        <w:gridCol w:w="2692"/>
      </w:tblGrid>
      <w:tr w:rsidR="00833851" w:rsidRPr="00B4269D" w14:paraId="4CB05BED" w14:textId="77777777" w:rsidTr="0049096F">
        <w:trPr>
          <w:trHeight w:val="520"/>
        </w:trPr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F7C6" w14:textId="77777777" w:rsidR="00833851" w:rsidRPr="00B4269D" w:rsidRDefault="00833851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6375" w14:textId="77777777" w:rsidR="00833851" w:rsidRPr="00B4269D" w:rsidRDefault="00833851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7B5B" w14:textId="77777777" w:rsidR="00833851" w:rsidRPr="00B4269D" w:rsidRDefault="00833851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</w:p>
        </w:tc>
      </w:tr>
      <w:tr w:rsidR="00833851" w:rsidRPr="00B4269D" w14:paraId="4115E7D5" w14:textId="77777777" w:rsidTr="0049096F">
        <w:trPr>
          <w:trHeight w:val="766"/>
        </w:trPr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7555" w14:textId="77777777" w:rsidR="00833851" w:rsidRPr="00B4269D" w:rsidRDefault="00833851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7978F65F" w14:textId="77777777" w:rsidR="00833851" w:rsidRPr="00B4269D" w:rsidRDefault="00833851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9911" w14:textId="77777777" w:rsidR="00833851" w:rsidRPr="00B4269D" w:rsidRDefault="00833851" w:rsidP="0086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Відсутні</w:t>
            </w:r>
            <w:proofErr w:type="spellEnd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F313" w14:textId="77777777" w:rsidR="00833851" w:rsidRPr="00B4269D" w:rsidRDefault="00833851" w:rsidP="0086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Відсутні</w:t>
            </w:r>
            <w:proofErr w:type="spellEnd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33851" w:rsidRPr="00B4269D" w14:paraId="297F078E" w14:textId="77777777" w:rsidTr="0049096F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BE9C" w14:textId="77777777" w:rsidR="00833851" w:rsidRPr="00B4269D" w:rsidRDefault="00833851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407C0D2F" w14:textId="77777777" w:rsidR="00833851" w:rsidRPr="00B4269D" w:rsidRDefault="00833851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ABD9" w14:textId="77777777" w:rsidR="00833851" w:rsidRPr="00B4269D" w:rsidRDefault="00833851" w:rsidP="00867ECA">
            <w:pPr>
              <w:spacing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ожливість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9F17" w14:textId="77777777" w:rsidR="00833851" w:rsidRPr="00B4269D" w:rsidRDefault="00833851" w:rsidP="0086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Відсутні</w:t>
            </w:r>
            <w:proofErr w:type="spellEnd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9519008" w14:textId="77777777" w:rsidR="00833851" w:rsidRPr="00B4269D" w:rsidRDefault="00833851" w:rsidP="00833851">
      <w:pPr>
        <w:spacing w:line="240" w:lineRule="auto"/>
        <w:ind w:left="12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lastRenderedPageBreak/>
        <w:t>Оцінка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на сферу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</w:p>
    <w:tbl>
      <w:tblPr>
        <w:tblW w:w="9289" w:type="dxa"/>
        <w:tblInd w:w="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8"/>
        <w:gridCol w:w="1717"/>
        <w:gridCol w:w="1365"/>
        <w:gridCol w:w="1365"/>
        <w:gridCol w:w="1082"/>
        <w:gridCol w:w="992"/>
      </w:tblGrid>
      <w:tr w:rsidR="00833851" w:rsidRPr="00B4269D" w14:paraId="607043B1" w14:textId="77777777" w:rsidTr="0049096F">
        <w:trPr>
          <w:trHeight w:val="540"/>
        </w:trPr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3449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A2E4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Великі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04E2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15E9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Малі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743F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Мікро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5E3F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833851" w:rsidRPr="00B4269D" w14:paraId="56BB75D7" w14:textId="77777777" w:rsidTr="0049096F">
        <w:trPr>
          <w:trHeight w:val="1292"/>
        </w:trPr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CEF7" w14:textId="77777777" w:rsidR="00833851" w:rsidRPr="00B4269D" w:rsidRDefault="00833851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підпадають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C89F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755E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8FDB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B661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576B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833851" w:rsidRPr="00B4269D" w14:paraId="0DFB0A9E" w14:textId="77777777" w:rsidTr="0049096F">
        <w:trPr>
          <w:trHeight w:val="592"/>
        </w:trPr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AE5E" w14:textId="77777777" w:rsidR="00833851" w:rsidRPr="00B4269D" w:rsidRDefault="00833851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вага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3040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FADD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D49D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6D31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C8B1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2D2FA7B" w14:textId="77777777" w:rsidR="00833851" w:rsidRPr="00B4269D" w:rsidRDefault="00833851" w:rsidP="00B67DF3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поширюватиметься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акта -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лісокористувачі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лектронного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обліку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деревини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лісокористувачів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977"/>
        <w:gridCol w:w="4111"/>
      </w:tblGrid>
      <w:tr w:rsidR="00833851" w:rsidRPr="00B4269D" w14:paraId="06F06208" w14:textId="77777777" w:rsidTr="0049096F">
        <w:trPr>
          <w:trHeight w:val="288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02B89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2DB26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DF301" w14:textId="77777777" w:rsidR="00833851" w:rsidRPr="00B4269D" w:rsidRDefault="00833851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</w:p>
        </w:tc>
      </w:tr>
      <w:tr w:rsidR="00833851" w:rsidRPr="00B4269D" w14:paraId="1671A0BB" w14:textId="77777777" w:rsidTr="0049096F">
        <w:trPr>
          <w:trHeight w:val="453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7943" w14:textId="77777777" w:rsidR="00833851" w:rsidRDefault="00833851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0751ED90" w14:textId="77777777" w:rsidR="00833851" w:rsidRPr="00B4269D" w:rsidRDefault="00833851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6834" w14:textId="77777777" w:rsidR="00833851" w:rsidRPr="0049096F" w:rsidRDefault="00833851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="004909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8A41" w14:textId="77777777" w:rsidR="00833851" w:rsidRPr="00B4269D" w:rsidRDefault="0049096F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итрати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3851" w:rsidRPr="00B4269D" w14:paraId="55DB9645" w14:textId="77777777" w:rsidTr="0049096F">
        <w:trPr>
          <w:trHeight w:val="1605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D37E" w14:textId="77777777" w:rsidR="00833851" w:rsidRPr="00B4269D" w:rsidRDefault="00833851" w:rsidP="00867E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65D14D08" w14:textId="77777777" w:rsidR="00833851" w:rsidRPr="00B4269D" w:rsidRDefault="00833851" w:rsidP="0086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17F4" w14:textId="77777777" w:rsidR="00833851" w:rsidRPr="00B4269D" w:rsidRDefault="00833851" w:rsidP="00867ECA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маніпуляцій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лісокористувача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C2A1" w14:textId="77777777" w:rsidR="00833851" w:rsidRPr="00B4269D" w:rsidRDefault="00833851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итрати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420B19A" w14:textId="77777777" w:rsidR="001A1738" w:rsidRPr="001A1738" w:rsidRDefault="001A1738" w:rsidP="001A1738">
      <w:pPr>
        <w:spacing w:after="0" w:line="240" w:lineRule="auto"/>
        <w:ind w:firstLine="425"/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54A474C" w14:textId="77777777" w:rsidR="00990EB7" w:rsidRPr="00460D02" w:rsidRDefault="00990EB7" w:rsidP="00990EB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ВИТРАТИ</w:t>
      </w:r>
      <w:r w:rsidRPr="00460D02">
        <w:rPr>
          <w:rFonts w:ascii="Times New Roman" w:eastAsia="Times New Roman" w:hAnsi="Times New Roman" w:cs="Times New Roman"/>
          <w:sz w:val="24"/>
          <w:szCs w:val="24"/>
        </w:rPr>
        <w:br/>
      </w:r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одного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суб’єкта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господарювання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великого і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середнього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підприємництва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виникають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внаслідок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46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регуляторного акта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5626"/>
        <w:gridCol w:w="1144"/>
        <w:gridCol w:w="1144"/>
      </w:tblGrid>
      <w:tr w:rsidR="00990EB7" w:rsidRPr="00460D02" w14:paraId="0E93A277" w14:textId="77777777" w:rsidTr="00867ECA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D1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178"/>
            <w:bookmarkEnd w:id="0"/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Порядковий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D6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B6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перший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A6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76B9424D" w14:textId="77777777" w:rsidTr="00867ECA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C6FA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4D50D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сервісне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E3D1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9C437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4DE27D81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17963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A96B7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4DCD3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D8452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3A2F77FD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9383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8AD4E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підготовкою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D635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846C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73C38CF1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AF3E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B102E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адмініструванням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(контролю)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приписів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8577A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0C7F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67E3A62C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2E77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76D26A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ліцензій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атестатів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314F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7DCE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49EF622C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ACEA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6F9B7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канцелярські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6D6E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EDAD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226E9DCD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95FEA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568616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наймом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додаткового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2CFE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FEAC6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625C003F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87C4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51347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14FF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51038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EB7" w:rsidRPr="00460D02" w14:paraId="6DEB67CE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24AC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C731C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(сума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рядків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: 1 + 2 + 3 + 4 + 5 + 6 + 7 + 8),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8F4E1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B7314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62BB2C3A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A4E61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9DEBE0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EEE5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9F36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90EB7" w:rsidRPr="00460D02" w14:paraId="44861202" w14:textId="77777777" w:rsidTr="00867ECA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C924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556A9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 (рядок 9 х рядок 10),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A5E33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C84F8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6DB090" w14:textId="77777777" w:rsidR="00990EB7" w:rsidRPr="00460D02" w:rsidRDefault="00990EB7" w:rsidP="00B67DF3">
      <w:pPr>
        <w:spacing w:before="24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179"/>
      <w:bookmarkEnd w:id="1"/>
      <w:proofErr w:type="spellStart"/>
      <w:r w:rsidRPr="00460D02">
        <w:rPr>
          <w:rFonts w:ascii="Times New Roman" w:eastAsia="Times New Roman" w:hAnsi="Times New Roman" w:cs="Times New Roman"/>
          <w:sz w:val="24"/>
          <w:szCs w:val="24"/>
        </w:rPr>
        <w:t>Розрахунок</w:t>
      </w:r>
      <w:proofErr w:type="spellEnd"/>
      <w:r w:rsidRPr="0046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46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sz w:val="24"/>
          <w:szCs w:val="24"/>
        </w:rPr>
        <w:t>витрат</w:t>
      </w:r>
      <w:proofErr w:type="spellEnd"/>
      <w:r w:rsidRPr="00460D02">
        <w:rPr>
          <w:rFonts w:ascii="Times New Roman" w:eastAsia="Times New Roman" w:hAnsi="Times New Roman" w:cs="Times New Roman"/>
          <w:sz w:val="24"/>
          <w:szCs w:val="24"/>
        </w:rPr>
        <w:t xml:space="preserve"> на одного </w:t>
      </w:r>
      <w:proofErr w:type="spellStart"/>
      <w:r w:rsidRPr="00460D02">
        <w:rPr>
          <w:rFonts w:ascii="Times New Roman" w:eastAsia="Times New Roman" w:hAnsi="Times New Roman" w:cs="Times New Roman"/>
          <w:sz w:val="24"/>
          <w:szCs w:val="24"/>
        </w:rPr>
        <w:t>суб’єкта</w:t>
      </w:r>
      <w:proofErr w:type="spellEnd"/>
      <w:r w:rsidRPr="0046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D02">
        <w:rPr>
          <w:rFonts w:ascii="Times New Roman" w:eastAsia="Times New Roman" w:hAnsi="Times New Roman" w:cs="Times New Roman"/>
          <w:sz w:val="24"/>
          <w:szCs w:val="24"/>
        </w:rPr>
        <w:t>господарювання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1716"/>
        <w:gridCol w:w="1620"/>
        <w:gridCol w:w="21"/>
        <w:gridCol w:w="1600"/>
      </w:tblGrid>
      <w:tr w:rsidR="00990EB7" w:rsidRPr="00460D02" w14:paraId="1220E73F" w14:textId="77777777" w:rsidTr="00867ECA"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7C5A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180"/>
            <w:bookmarkEnd w:id="2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3BB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перший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F66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C13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7B52594E" w14:textId="77777777" w:rsidTr="00867ECA">
        <w:tc>
          <w:tcPr>
            <w:tcW w:w="2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541669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сервісне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EC684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6A279D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7EA37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0F5046E9" w14:textId="77777777" w:rsidTr="00867ECA"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B4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181"/>
            <w:bookmarkEnd w:id="3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A6D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змінених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нововведених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A1C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1F0A3ACF" w14:textId="77777777" w:rsidTr="00867ECA">
        <w:tc>
          <w:tcPr>
            <w:tcW w:w="23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BD21C7" w14:textId="77777777" w:rsidR="00990EB7" w:rsidRPr="00CD59CD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сплаті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58D90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47E9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7ECEA5" w14:textId="77777777" w:rsidR="00990EB7" w:rsidRPr="00460D02" w:rsidRDefault="00990EB7" w:rsidP="00990EB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n182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1717"/>
        <w:gridCol w:w="1716"/>
        <w:gridCol w:w="1620"/>
        <w:gridCol w:w="1430"/>
      </w:tblGrid>
      <w:tr w:rsidR="00990EB7" w:rsidRPr="00460D02" w14:paraId="560E2B53" w14:textId="77777777" w:rsidTr="00867ECA">
        <w:tc>
          <w:tcPr>
            <w:tcW w:w="1500" w:type="pct"/>
            <w:hideMark/>
          </w:tcPr>
          <w:p w14:paraId="29CA79A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900" w:type="pct"/>
            <w:hideMark/>
          </w:tcPr>
          <w:p w14:paraId="57AA53E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pct"/>
            <w:hideMark/>
          </w:tcPr>
          <w:p w14:paraId="3C61F3BA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0" w:type="pct"/>
            <w:hideMark/>
          </w:tcPr>
          <w:p w14:paraId="14CFF77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50" w:type="pct"/>
            <w:hideMark/>
          </w:tcPr>
          <w:p w14:paraId="09567D36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0D85CC85" w14:textId="77777777" w:rsidTr="00867ECA">
        <w:tc>
          <w:tcPr>
            <w:tcW w:w="1500" w:type="pct"/>
            <w:hideMark/>
          </w:tcPr>
          <w:p w14:paraId="78A0FD85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підготовкою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 персоналу)</w:t>
            </w:r>
          </w:p>
        </w:tc>
        <w:tc>
          <w:tcPr>
            <w:tcW w:w="900" w:type="pct"/>
            <w:hideMark/>
          </w:tcPr>
          <w:p w14:paraId="532AC68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pct"/>
            <w:hideMark/>
          </w:tcPr>
          <w:p w14:paraId="2B0E585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hideMark/>
          </w:tcPr>
          <w:p w14:paraId="6060101E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pct"/>
            <w:hideMark/>
          </w:tcPr>
          <w:p w14:paraId="60573B2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103D35F" w14:textId="77777777" w:rsidR="00990EB7" w:rsidRPr="00CD59CD" w:rsidRDefault="00990EB7" w:rsidP="00990E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n183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2289"/>
        <w:gridCol w:w="1620"/>
        <w:gridCol w:w="1239"/>
        <w:gridCol w:w="1239"/>
      </w:tblGrid>
      <w:tr w:rsidR="00990EB7" w:rsidRPr="00460D02" w14:paraId="0880FDD6" w14:textId="77777777" w:rsidTr="00867ECA">
        <w:trPr>
          <w:trHeight w:val="1531"/>
        </w:trPr>
        <w:tc>
          <w:tcPr>
            <w:tcW w:w="1550" w:type="pct"/>
            <w:hideMark/>
          </w:tcPr>
          <w:p w14:paraId="6AD0C12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n184"/>
            <w:bookmarkEnd w:id="6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200" w:type="pct"/>
            <w:hideMark/>
          </w:tcPr>
          <w:p w14:paraId="658F90C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(контролю)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hideMark/>
          </w:tcPr>
          <w:p w14:paraId="4FB1C30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71941891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650" w:type="pct"/>
            <w:hideMark/>
          </w:tcPr>
          <w:p w14:paraId="597F6CE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0586BF53" w14:textId="77777777" w:rsidTr="00867ECA">
        <w:tc>
          <w:tcPr>
            <w:tcW w:w="1550" w:type="pct"/>
            <w:hideMark/>
          </w:tcPr>
          <w:p w14:paraId="5796A527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адмініструванням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(контролю)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приписів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pct"/>
            <w:hideMark/>
          </w:tcPr>
          <w:p w14:paraId="494A9BAA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hideMark/>
          </w:tcPr>
          <w:p w14:paraId="4E42A21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hideMark/>
          </w:tcPr>
          <w:p w14:paraId="6D507A28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hideMark/>
          </w:tcPr>
          <w:p w14:paraId="436B46C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6678C5" w14:textId="77777777" w:rsidR="00990EB7" w:rsidRPr="00CD59CD" w:rsidRDefault="00990EB7" w:rsidP="00990E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n185"/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667"/>
        <w:gridCol w:w="1049"/>
        <w:gridCol w:w="858"/>
        <w:gridCol w:w="1049"/>
        <w:gridCol w:w="953"/>
        <w:gridCol w:w="667"/>
        <w:gridCol w:w="1144"/>
      </w:tblGrid>
      <w:tr w:rsidR="00990EB7" w:rsidRPr="00460D02" w14:paraId="275199B1" w14:textId="77777777" w:rsidTr="00867ECA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D81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n186"/>
            <w:bookmarkEnd w:id="8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88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F3C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ліцензії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поліси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стартовий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5BE0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стартовий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915D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3DD91737" w14:textId="77777777" w:rsidTr="00867ECA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ED5A" w14:textId="77777777" w:rsidR="00990EB7" w:rsidRPr="00CD59CD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ліцензій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атестатів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погоджень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CD59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453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58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BB8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AAE6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460D02" w14:paraId="499669BD" w14:textId="77777777" w:rsidTr="00867ECA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74C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n187"/>
            <w:bookmarkEnd w:id="9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709A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стартовий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EEB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AEF9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412A1FDC" w14:textId="77777777" w:rsidTr="00867ECA">
        <w:tc>
          <w:tcPr>
            <w:tcW w:w="19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635BFE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канцелярські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CDB11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CF31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5AF7D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814FF69" w14:textId="77777777" w:rsidR="00990EB7" w:rsidRPr="00460D02" w:rsidRDefault="00990EB7" w:rsidP="00990EB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n188"/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3910"/>
        <w:gridCol w:w="1716"/>
      </w:tblGrid>
      <w:tr w:rsidR="00990EB7" w:rsidRPr="00460D02" w14:paraId="15B4F2BC" w14:textId="77777777" w:rsidTr="00867ECA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35F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E24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найманого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 (за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1A0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990EB7" w:rsidRPr="00460D02" w14:paraId="023086AF" w14:textId="77777777" w:rsidTr="00867ECA">
        <w:tc>
          <w:tcPr>
            <w:tcW w:w="19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0E532" w14:textId="77777777" w:rsidR="00990EB7" w:rsidRPr="00460D0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наймом </w:t>
            </w:r>
            <w:proofErr w:type="spellStart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додаткового</w:t>
            </w:r>
            <w:proofErr w:type="spellEnd"/>
            <w:r w:rsidRPr="00460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59345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F8B52" w14:textId="77777777" w:rsidR="00990EB7" w:rsidRPr="00460D0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B9C67" w14:textId="77777777" w:rsidR="00990EB7" w:rsidRPr="00460D02" w:rsidRDefault="00990EB7" w:rsidP="00990EB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8"/>
        <w:gridCol w:w="2927"/>
      </w:tblGrid>
      <w:tr w:rsidR="00990EB7" w:rsidRPr="00FA58C2" w14:paraId="133086CE" w14:textId="77777777" w:rsidTr="00867ECA"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BD112" w14:textId="77777777" w:rsidR="00990EB7" w:rsidRPr="00FA58C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альтернативами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06C1E" w14:textId="77777777" w:rsidR="00990EB7" w:rsidRPr="00FA58C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, гривень</w:t>
            </w:r>
          </w:p>
        </w:tc>
      </w:tr>
      <w:tr w:rsidR="00990EB7" w:rsidRPr="00FA58C2" w14:paraId="38A88594" w14:textId="77777777" w:rsidTr="00867ECA">
        <w:trPr>
          <w:trHeight w:val="1569"/>
        </w:trPr>
        <w:tc>
          <w:tcPr>
            <w:tcW w:w="34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7B04063" w14:textId="77777777" w:rsidR="00990EB7" w:rsidRPr="00FA58C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Альтернатива 1.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і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proofErr w:type="gram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до Методики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регуляторного акта (рядок 11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і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регуляторного акта”)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A2EE9B" w14:textId="77777777" w:rsidR="00990EB7" w:rsidRPr="00FA58C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B7" w:rsidRPr="00FA58C2" w14:paraId="798881F8" w14:textId="77777777" w:rsidTr="00867ECA">
        <w:tc>
          <w:tcPr>
            <w:tcW w:w="3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4194D5E" w14:textId="77777777" w:rsidR="00990EB7" w:rsidRPr="00FA58C2" w:rsidRDefault="00990EB7" w:rsidP="00867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Альтернатива 2.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і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до Методики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регуляторного акта (рядок 11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одного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великого і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виникають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FA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регуляторного акта”)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9B9D761" w14:textId="77777777" w:rsidR="00990EB7" w:rsidRPr="00FA58C2" w:rsidRDefault="00990EB7" w:rsidP="00867E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4EF1037" w14:textId="77777777" w:rsidR="00990EB7" w:rsidRPr="00E22FF6" w:rsidRDefault="00990EB7" w:rsidP="00990E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FF6">
        <w:rPr>
          <w:sz w:val="28"/>
          <w:szCs w:val="28"/>
          <w:lang w:val="uk-UA"/>
        </w:rPr>
        <w:t xml:space="preserve">На даний час у відповідності до Порядку та Інструкції </w:t>
      </w:r>
      <w:r w:rsidRPr="00E22FF6">
        <w:rPr>
          <w:rStyle w:val="rvts9"/>
          <w:sz w:val="28"/>
          <w:szCs w:val="28"/>
          <w:shd w:val="clear" w:color="auto" w:fill="FFFFFF"/>
          <w:lang w:val="uk-UA"/>
        </w:rPr>
        <w:t>л</w:t>
      </w:r>
      <w:r w:rsidRPr="00E22FF6">
        <w:rPr>
          <w:sz w:val="28"/>
          <w:szCs w:val="28"/>
          <w:shd w:val="clear" w:color="auto" w:fill="FFFFFF"/>
          <w:lang w:val="uk-UA"/>
        </w:rPr>
        <w:t xml:space="preserve">ісокористувачі вносять до єдиної державної системи електронного обліку деревини (далі - система обліку деревини) інформацію про: спеціальні дозволи на використання лісових ресурсів; породу дерева, кількісні та якісні характеристики деревини; договори щодо здійснення господарських операцій з реалізації деревини; місця завантаження та пункти розвантаження деревини; </w:t>
      </w:r>
      <w:r w:rsidR="002817E0">
        <w:rPr>
          <w:sz w:val="28"/>
          <w:szCs w:val="28"/>
          <w:shd w:val="clear" w:color="auto" w:fill="FFFFFF"/>
          <w:lang w:val="uk-UA"/>
        </w:rPr>
        <w:t xml:space="preserve">повне зображення </w:t>
      </w:r>
      <w:r w:rsidRPr="00E22FF6">
        <w:rPr>
          <w:sz w:val="28"/>
          <w:szCs w:val="28"/>
          <w:shd w:val="clear" w:color="auto" w:fill="FFFFFF"/>
          <w:lang w:val="uk-UA"/>
        </w:rPr>
        <w:t>транспортн</w:t>
      </w:r>
      <w:r w:rsidR="002817E0">
        <w:rPr>
          <w:sz w:val="28"/>
          <w:szCs w:val="28"/>
          <w:shd w:val="clear" w:color="auto" w:fill="FFFFFF"/>
          <w:lang w:val="uk-UA"/>
        </w:rPr>
        <w:t>их</w:t>
      </w:r>
      <w:r w:rsidRPr="00E22FF6">
        <w:rPr>
          <w:sz w:val="28"/>
          <w:szCs w:val="28"/>
          <w:shd w:val="clear" w:color="auto" w:fill="FFFFFF"/>
          <w:lang w:val="uk-UA"/>
        </w:rPr>
        <w:t xml:space="preserve"> засоб</w:t>
      </w:r>
      <w:r w:rsidR="002817E0">
        <w:rPr>
          <w:sz w:val="28"/>
          <w:szCs w:val="28"/>
          <w:shd w:val="clear" w:color="auto" w:fill="FFFFFF"/>
          <w:lang w:val="uk-UA"/>
        </w:rPr>
        <w:t>ів</w:t>
      </w:r>
      <w:r w:rsidRPr="00E22FF6">
        <w:rPr>
          <w:sz w:val="28"/>
          <w:szCs w:val="28"/>
          <w:shd w:val="clear" w:color="auto" w:fill="FFFFFF"/>
          <w:lang w:val="uk-UA"/>
        </w:rPr>
        <w:t>, якими здійснюється транспортування деревини.</w:t>
      </w:r>
    </w:p>
    <w:p w14:paraId="624DD10A" w14:textId="77777777" w:rsidR="00990EB7" w:rsidRPr="00E22FF6" w:rsidRDefault="00990EB7" w:rsidP="00990E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FF6">
        <w:rPr>
          <w:sz w:val="28"/>
          <w:szCs w:val="28"/>
          <w:lang w:val="uk-UA"/>
        </w:rPr>
        <w:lastRenderedPageBreak/>
        <w:t xml:space="preserve">Інформація вноситься відповідальною особою лісокористувача за допомогою КПК. Цим же КПК буде здійснюватися </w:t>
      </w:r>
      <w:r w:rsidR="002817E0">
        <w:rPr>
          <w:sz w:val="28"/>
          <w:szCs w:val="28"/>
          <w:lang w:val="uk-UA"/>
        </w:rPr>
        <w:t xml:space="preserve">всебічне </w:t>
      </w:r>
      <w:r w:rsidRPr="00E22FF6">
        <w:rPr>
          <w:sz w:val="28"/>
          <w:szCs w:val="28"/>
          <w:lang w:val="uk-UA"/>
        </w:rPr>
        <w:t>фотографування завантаженого деревиною транспортного засобу.</w:t>
      </w:r>
    </w:p>
    <w:p w14:paraId="5E595C46" w14:textId="77777777" w:rsidR="00990EB7" w:rsidRPr="00E22FF6" w:rsidRDefault="00990EB7" w:rsidP="00990E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22FF6">
        <w:rPr>
          <w:sz w:val="28"/>
          <w:szCs w:val="28"/>
          <w:lang w:val="uk-UA"/>
        </w:rPr>
        <w:t xml:space="preserve">Додаткові витрати лісокористувачів </w:t>
      </w:r>
      <w:r>
        <w:rPr>
          <w:sz w:val="28"/>
          <w:szCs w:val="28"/>
          <w:lang w:val="uk-UA"/>
        </w:rPr>
        <w:t>відсутні</w:t>
      </w:r>
      <w:r w:rsidRPr="00E22FF6">
        <w:rPr>
          <w:sz w:val="28"/>
          <w:szCs w:val="28"/>
          <w:lang w:val="uk-UA"/>
        </w:rPr>
        <w:t>.</w:t>
      </w:r>
    </w:p>
    <w:p w14:paraId="2535DBFF" w14:textId="77777777" w:rsidR="00990EB7" w:rsidRPr="00460D02" w:rsidRDefault="00990EB7" w:rsidP="00990EB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459510" w14:textId="77777777" w:rsidR="00990EB7" w:rsidRPr="00B4269D" w:rsidRDefault="00990EB7" w:rsidP="00990EB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Вибір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найбільш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оптимального альтернативного способу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цілей</w:t>
      </w:r>
      <w:proofErr w:type="spellEnd"/>
    </w:p>
    <w:p w14:paraId="6E744EF7" w14:textId="77777777" w:rsidR="00990EB7" w:rsidRPr="00B4269D" w:rsidRDefault="00990EB7" w:rsidP="00990EB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268"/>
        <w:gridCol w:w="4820"/>
      </w:tblGrid>
      <w:tr w:rsidR="00990EB7" w:rsidRPr="00B4269D" w14:paraId="652F6FFC" w14:textId="77777777" w:rsidTr="0049096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656DB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 w:right="-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Рейтинг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досягнення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цілей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вирішення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F1CF3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6" w:right="-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(за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чотирибальною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системою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66D3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Коментарі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присвоєння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E3909B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відповідного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бала</w:t>
            </w:r>
          </w:p>
        </w:tc>
      </w:tr>
      <w:tr w:rsidR="00990EB7" w:rsidRPr="00B4269D" w14:paraId="3E7C9887" w14:textId="77777777" w:rsidTr="0049096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031E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4ACC774E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CA46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983B" w14:textId="77777777" w:rsidR="00990EB7" w:rsidRPr="00B4269D" w:rsidRDefault="00990EB7" w:rsidP="0028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Ця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альтернатива не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вирішує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описані</w:t>
            </w:r>
            <w:proofErr w:type="spellEnd"/>
          </w:p>
          <w:p w14:paraId="4559B6C5" w14:textId="77777777" w:rsidR="00990EB7" w:rsidRPr="00B4269D" w:rsidRDefault="00990EB7" w:rsidP="0028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існують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регуляторному</w:t>
            </w:r>
          </w:p>
          <w:p w14:paraId="1DC58B45" w14:textId="77777777" w:rsidR="00990EB7" w:rsidRPr="00B4269D" w:rsidRDefault="00990EB7" w:rsidP="0028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EB7" w:rsidRPr="00B4269D" w14:paraId="0307A3FB" w14:textId="77777777" w:rsidTr="0049096F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514D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53DFE424" w14:textId="77777777" w:rsidR="00990EB7" w:rsidRPr="00B4269D" w:rsidRDefault="002817E0" w:rsidP="00867ECA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2BDE" w14:textId="77777777" w:rsidR="00990EB7" w:rsidRPr="00B4269D" w:rsidRDefault="00990EB7" w:rsidP="0086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C7FA" w14:textId="77777777" w:rsidR="00990EB7" w:rsidRPr="00B4269D" w:rsidRDefault="00990EB7" w:rsidP="002817E0">
            <w:pPr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альтернатива є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оптимальною,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досягає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дозволить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посилити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боротьб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незаконними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рубками,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тіньовим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обігом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72A85DC" w14:textId="77777777" w:rsidR="00990EB7" w:rsidRPr="00B4269D" w:rsidRDefault="00990EB7" w:rsidP="00990EB7">
      <w:pPr>
        <w:spacing w:line="240" w:lineRule="auto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5"/>
        <w:gridCol w:w="2892"/>
        <w:gridCol w:w="4111"/>
      </w:tblGrid>
      <w:tr w:rsidR="00990EB7" w:rsidRPr="00B4269D" w14:paraId="279EDA40" w14:textId="77777777" w:rsidTr="0049096F"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E332D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Рейтинг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результативності</w:t>
            </w:r>
            <w:proofErr w:type="spellEnd"/>
          </w:p>
        </w:tc>
        <w:tc>
          <w:tcPr>
            <w:tcW w:w="2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FF31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підсумок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3DD55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підсумок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90EB7" w:rsidRPr="00B4269D" w14:paraId="00C182D2" w14:textId="77777777" w:rsidTr="0049096F"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90F6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4CF0DA53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2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7B64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2E91FC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A31E2D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суб'єктів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95F0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наведені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ІІІ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8A001E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332FE8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суб'єктів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EB7" w:rsidRPr="00B4269D" w14:paraId="762AB731" w14:textId="77777777" w:rsidTr="0049096F"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53DD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78D1F7C7" w14:textId="77777777" w:rsidR="00990EB7" w:rsidRPr="00B4269D" w:rsidRDefault="002817E0" w:rsidP="0086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Внесення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2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8AB0" w14:textId="77777777" w:rsidR="00990EB7" w:rsidRDefault="00990EB7" w:rsidP="00867ECA">
            <w:pPr>
              <w:widowControl w:val="0"/>
              <w:spacing w:line="240" w:lineRule="auto"/>
              <w:ind w:firstLine="3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DA447B1" w14:textId="77777777" w:rsidR="00AC1E23" w:rsidRPr="00B4269D" w:rsidRDefault="00AC1E23" w:rsidP="00AC1E23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забезпечен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лектронного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повне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зображен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ня (</w:t>
            </w:r>
            <w:r w:rsidRPr="00281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спереду (кабіну та державний номер автомобіля), збоку (автомобіль та причіп/напівпричіп у разі наявності таких), ззаду (автомобіль і причіп/напівпричіп (у разі наявності) із сортиментом і державним номером) та сортимент із биркою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завантаженого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деревиною транспортного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засобу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транспортуванні</w:t>
            </w:r>
            <w:proofErr w:type="spellEnd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B426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225F55A0" w14:textId="77777777" w:rsidR="00AC1E23" w:rsidRPr="00B4269D" w:rsidRDefault="00AC1E23" w:rsidP="00AC1E23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маніпуляцій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E64AC93" w14:textId="77777777" w:rsidR="00AC1E23" w:rsidRPr="00B4269D" w:rsidRDefault="00AC1E23" w:rsidP="00AC1E23">
            <w:pPr>
              <w:spacing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боротьб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незаконними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рубками,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тіньовим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обігом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373D47E3" w14:textId="77777777" w:rsidR="00AC1E23" w:rsidRPr="00AC1E23" w:rsidRDefault="00AC1E23" w:rsidP="00AC1E23">
            <w:pPr>
              <w:widowControl w:val="0"/>
              <w:spacing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FBAA0E" w14:textId="77777777" w:rsidR="00990EB7" w:rsidRPr="00B4269D" w:rsidRDefault="00990EB7" w:rsidP="00867ECA">
            <w:pPr>
              <w:widowControl w:val="0"/>
              <w:spacing w:line="240" w:lineRule="auto"/>
              <w:ind w:firstLine="3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5B7A5B8" w14:textId="77777777" w:rsidR="00990EB7" w:rsidRPr="00B4269D" w:rsidRDefault="00990EB7" w:rsidP="00867ECA">
            <w:pPr>
              <w:widowControl w:val="0"/>
              <w:spacing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ожливість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законності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5D3405" w14:textId="77777777" w:rsidR="00990EB7" w:rsidRPr="00B4269D" w:rsidRDefault="00990EB7" w:rsidP="00867ECA">
            <w:pPr>
              <w:widowControl w:val="0"/>
              <w:spacing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суб'єктів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FA19C27" w14:textId="77777777" w:rsidR="00990EB7" w:rsidRPr="00B4269D" w:rsidRDefault="00990EB7" w:rsidP="00867ECA">
            <w:pPr>
              <w:spacing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маніпуляцій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заготовленої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лісокористувача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5338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B55706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D84631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суб'єктів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господарювання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098471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B42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ідсутні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FC2D254" w14:textId="77777777" w:rsidR="00990EB7" w:rsidRPr="00B4269D" w:rsidRDefault="00990EB7" w:rsidP="00990EB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4364"/>
        <w:gridCol w:w="2692"/>
      </w:tblGrid>
      <w:tr w:rsidR="00990EB7" w:rsidRPr="00B4269D" w14:paraId="74D907AC" w14:textId="77777777" w:rsidTr="0049096F"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BC059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EFC62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Аргументи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переваги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обраної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/причини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відмови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2494" w14:textId="77777777" w:rsidR="00990EB7" w:rsidRPr="00B4269D" w:rsidRDefault="00990EB7" w:rsidP="00867E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ризику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зовнішніх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чинників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запропонованого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регуляторного акта</w:t>
            </w:r>
          </w:p>
        </w:tc>
      </w:tr>
      <w:tr w:rsidR="00990EB7" w:rsidRPr="00B4269D" w14:paraId="5EB8D263" w14:textId="77777777" w:rsidTr="0049096F"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3D62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</w:t>
            </w:r>
          </w:p>
          <w:p w14:paraId="6827A1A8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quo</w:t>
            </w:r>
            <w:proofErr w:type="spellEnd"/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87B1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є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неприйнятною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оскільки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вирішує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вказані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часом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загострюватись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6D17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0EB7" w:rsidRPr="00B4269D" w14:paraId="311E168F" w14:textId="77777777" w:rsidTr="0049096F"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014B" w14:textId="77777777" w:rsidR="00990EB7" w:rsidRPr="00B4269D" w:rsidRDefault="00990EB7" w:rsidP="00867E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</w:t>
            </w:r>
          </w:p>
          <w:p w14:paraId="117A9894" w14:textId="77777777" w:rsidR="00990EB7" w:rsidRPr="00B67DF3" w:rsidRDefault="00AC1E23" w:rsidP="0086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 до</w:t>
            </w: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інструкції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22D6" w14:textId="77777777" w:rsidR="00990EB7" w:rsidRPr="00B4269D" w:rsidRDefault="00990EB7" w:rsidP="00867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є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прийнятною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оскільки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вказаних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 дозволить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посилити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боротьб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незаконними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рубками,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тіньовим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обігом</w:t>
            </w:r>
            <w:proofErr w:type="spellEnd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26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деревини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20A4" w14:textId="77777777" w:rsidR="00990EB7" w:rsidRPr="00B4269D" w:rsidRDefault="00990EB7" w:rsidP="00867E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Відсутній</w:t>
            </w:r>
            <w:proofErr w:type="spellEnd"/>
            <w:r w:rsidRPr="00B426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A5443C3" w14:textId="77777777" w:rsidR="002E6F18" w:rsidRDefault="002E6F18" w:rsidP="008467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B88B8C" w14:textId="77777777" w:rsidR="00B67DF3" w:rsidRDefault="00B67DF3" w:rsidP="008467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CE4F6D" w14:textId="77777777" w:rsidR="00846719" w:rsidRPr="00B4269D" w:rsidRDefault="00846719" w:rsidP="0084671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Механізми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заходи,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забезпечать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визначеної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проблеми</w:t>
      </w:r>
      <w:proofErr w:type="spellEnd"/>
    </w:p>
    <w:p w14:paraId="64C9F312" w14:textId="77777777" w:rsidR="00846719" w:rsidRPr="00B4269D" w:rsidRDefault="00846719" w:rsidP="00846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ED7BA" w14:textId="77777777" w:rsidR="00846719" w:rsidRPr="00E413B8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визначеної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E413B8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E413B8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захисту довкілля та природних ресурсів України «Про внесення змін до Інструкц</w:t>
      </w:r>
      <w:r w:rsidR="002C30F5">
        <w:rPr>
          <w:rFonts w:ascii="Times New Roman" w:eastAsia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ведення електронного обліку деревини»</w:t>
      </w:r>
      <w:r w:rsidRPr="00E41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6BA69" w14:textId="77777777" w:rsidR="00846719" w:rsidRPr="00B4269D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акту 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доведення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проекту акту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поліпшенню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інвестиційного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клімату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A1EB2" w14:textId="77777777" w:rsidR="00846719" w:rsidRPr="00B4269D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Заходи,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які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необхідно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здійснити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суб’єктам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господарювання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ознайомитися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акту в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поширюватиметься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акта -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лісокористувачі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085041" w14:textId="77777777" w:rsidR="00846719" w:rsidRPr="00B4269D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BB34B" w14:textId="77777777" w:rsidR="00846719" w:rsidRPr="00B4269D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Оцінка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виконання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вимог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акта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залежно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ресурсів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якими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розпоряджаються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органи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виконавчої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влади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чи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органи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місцевого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фізичні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юридичні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особи,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повинні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проваджувати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виконувати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ці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14:paraId="741A0A73" w14:textId="77777777" w:rsidR="00846719" w:rsidRPr="00B4269D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FE58D" w14:textId="77777777" w:rsidR="00846719" w:rsidRPr="006938C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Витрати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регуляторного акта для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виконавчої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відсутні</w:t>
      </w:r>
      <w:proofErr w:type="spellEnd"/>
      <w:r w:rsidRPr="006938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E60ACB" w14:textId="77777777" w:rsidR="00846719" w:rsidRPr="006938C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акта не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потребуватиме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адміністрування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38ECE7" w14:textId="77777777" w:rsidR="00846719" w:rsidRPr="006938CA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Розрахунок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малого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4 (Тест малого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) до Методики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акта), не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проводився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проектом акту не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запроваджується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нове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обов'язкове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 малого </w:t>
      </w:r>
      <w:proofErr w:type="spellStart"/>
      <w:r w:rsidRPr="006938CA">
        <w:rPr>
          <w:rFonts w:ascii="Times New Roman" w:eastAsia="Times New Roman" w:hAnsi="Times New Roman" w:cs="Times New Roman"/>
          <w:sz w:val="28"/>
          <w:szCs w:val="28"/>
        </w:rPr>
        <w:t>підприємництва</w:t>
      </w:r>
      <w:proofErr w:type="spellEnd"/>
      <w:r w:rsidRPr="00693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E54DFC" w14:textId="77777777" w:rsidR="00B67DF3" w:rsidRDefault="00B67DF3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D7DF5" w14:textId="77777777" w:rsidR="00846719" w:rsidRPr="00B4269D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запропонованого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строку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акта</w:t>
      </w:r>
    </w:p>
    <w:p w14:paraId="6D060FCC" w14:textId="77777777" w:rsidR="00846719" w:rsidRPr="00B4269D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8EACA" w14:textId="77777777" w:rsidR="00846719" w:rsidRPr="00B4269D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 не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обмежується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часі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терміну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можлива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законодавчих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740D98" w14:textId="77777777" w:rsidR="00846719" w:rsidRPr="00B4269D" w:rsidRDefault="00846719" w:rsidP="00846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акта, з дня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офіційного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опублікування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A3B43" w14:textId="77777777" w:rsidR="002E6F18" w:rsidRDefault="002E6F18" w:rsidP="00846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05845" w14:textId="77777777" w:rsidR="00846719" w:rsidRPr="00B67DF3" w:rsidRDefault="00846719" w:rsidP="00B67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VIII.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Визначення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показників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акта</w:t>
      </w:r>
    </w:p>
    <w:p w14:paraId="35475497" w14:textId="77777777" w:rsidR="00846719" w:rsidRPr="007E04AE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Прогнозними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значеннями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показників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результативності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регуляторного акта є:</w:t>
      </w:r>
    </w:p>
    <w:p w14:paraId="0C84F2B6" w14:textId="77777777" w:rsidR="00846719" w:rsidRPr="007E04AE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1. 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Розмір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надходжень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державного та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місцевих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бюджетів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і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державних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цільових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фондів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пов’язаних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із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дією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акта – не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передбачаються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14:paraId="635FD907" w14:textId="77777777" w:rsidR="00846719" w:rsidRPr="007E04AE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2. 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Кількість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суб’єктів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господарювання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яких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поширюватиметься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дія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</w:t>
      </w:r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акта – 251.</w:t>
      </w:r>
    </w:p>
    <w:p w14:paraId="6F15C21F" w14:textId="77777777" w:rsidR="00846719" w:rsidRPr="007E04AE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3. 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Розмір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коштів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і час,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які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витрачаються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суб’єктами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господарювання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зв’язку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із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виконанням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вимог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акта – не </w:t>
      </w:r>
      <w:proofErr w:type="spellStart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передбачаються</w:t>
      </w:r>
      <w:proofErr w:type="spellEnd"/>
      <w:r w:rsidRPr="007E04A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30C524A3" w14:textId="77777777" w:rsidR="00846719" w:rsidRPr="007E04AE" w:rsidRDefault="00846719" w:rsidP="0084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поінформованості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акта –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розміщено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Державного агентства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лісових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(https://forest.gov.ua) у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Регуляторна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регуляторних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AE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7E04A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61B40FB" w14:textId="77777777" w:rsidR="00846719" w:rsidRPr="00B4269D" w:rsidRDefault="00846719" w:rsidP="00846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E98A6C4" w14:textId="77777777" w:rsidR="00846719" w:rsidRPr="00B4269D" w:rsidRDefault="00846719" w:rsidP="0084671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IX.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Визначення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заходів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, за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допомогою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яких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здійснюватиметься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акта</w:t>
      </w:r>
    </w:p>
    <w:p w14:paraId="31426EEB" w14:textId="77777777" w:rsidR="00846719" w:rsidRPr="00B4269D" w:rsidRDefault="00846719" w:rsidP="0084671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CA5EC4F" w14:textId="77777777" w:rsidR="00846719" w:rsidRPr="00B4269D" w:rsidRDefault="00846719" w:rsidP="0084671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Базове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здійснюватиметься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через 1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</w:t>
      </w:r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,</w:t>
      </w:r>
      <w:r w:rsidRPr="00B426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але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не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пізніше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дня, з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якого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починається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проведення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повторного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результативності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цього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акта. </w:t>
      </w:r>
    </w:p>
    <w:p w14:paraId="646782B7" w14:textId="77777777" w:rsidR="00846719" w:rsidRPr="00B4269D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через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рік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після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набрання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чинності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регуляторного акту,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але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не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пізніше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двох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років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з дня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набрання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чинності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цим</w:t>
      </w:r>
      <w:proofErr w:type="spellEnd"/>
      <w:r w:rsidRPr="00B4269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актом</w:t>
      </w: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кількісне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якісне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показника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акта. </w:t>
      </w:r>
    </w:p>
    <w:p w14:paraId="720E9585" w14:textId="77777777" w:rsidR="00846719" w:rsidRPr="00B4269D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Періодичні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на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кожні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роки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починаючи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дня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закінчення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повторного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відстеження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результативності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B4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</w:t>
      </w:r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B16DD" w14:textId="77777777" w:rsidR="00846719" w:rsidRPr="00B4269D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статистичний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F8E663" w14:textId="77777777" w:rsidR="00846719" w:rsidRPr="00B4269D" w:rsidRDefault="00846719" w:rsidP="00846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відстеження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перевірок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проведених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Держлісагентства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територіальними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органами,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sz w:val="28"/>
          <w:szCs w:val="28"/>
        </w:rPr>
        <w:t>звітів</w:t>
      </w:r>
      <w:proofErr w:type="spellEnd"/>
      <w:r w:rsidRPr="00B42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B5675" w14:textId="77777777" w:rsidR="00846719" w:rsidRPr="00B4269D" w:rsidRDefault="00846719" w:rsidP="008467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39208EF6" w14:textId="77777777" w:rsidR="00846719" w:rsidRPr="00B4269D" w:rsidRDefault="00846719" w:rsidP="0084671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31193FA5" w14:textId="77777777" w:rsidR="00846719" w:rsidRPr="00B4269D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Голова Державного</w:t>
      </w:r>
    </w:p>
    <w:p w14:paraId="30AB7356" w14:textId="77777777" w:rsidR="00846719" w:rsidRPr="00B4269D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агентства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лісових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ресурсів</w:t>
      </w:r>
      <w:proofErr w:type="spellEnd"/>
    </w:p>
    <w:p w14:paraId="3C746E47" w14:textId="77777777" w:rsidR="00846719" w:rsidRPr="00B4269D" w:rsidRDefault="00846719" w:rsidP="00846719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</w:t>
      </w:r>
      <w:proofErr w:type="spellStart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>Віктор</w:t>
      </w:r>
      <w:proofErr w:type="spellEnd"/>
      <w:r w:rsidRPr="00B4269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СМАЛЬ</w:t>
      </w:r>
    </w:p>
    <w:p w14:paraId="59B770EF" w14:textId="77777777" w:rsidR="00846719" w:rsidRPr="00B4269D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74642D" w14:textId="77777777" w:rsidR="00846719" w:rsidRDefault="00846719" w:rsidP="008467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269D">
        <w:rPr>
          <w:rFonts w:ascii="Times New Roman" w:eastAsia="Times New Roman" w:hAnsi="Times New Roman" w:cs="Times New Roman"/>
        </w:rPr>
        <w:t>«____» ___________ 2024 р.</w:t>
      </w:r>
    </w:p>
    <w:p w14:paraId="25340D02" w14:textId="77777777" w:rsidR="003933A7" w:rsidRPr="00547926" w:rsidRDefault="003933A7" w:rsidP="008467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33A7" w:rsidRPr="0054792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BE74" w14:textId="77777777" w:rsidR="0067591B" w:rsidRDefault="0067591B" w:rsidP="00B853D4">
      <w:pPr>
        <w:spacing w:after="0" w:line="240" w:lineRule="auto"/>
      </w:pPr>
      <w:r>
        <w:separator/>
      </w:r>
    </w:p>
  </w:endnote>
  <w:endnote w:type="continuationSeparator" w:id="0">
    <w:p w14:paraId="17209EF2" w14:textId="77777777" w:rsidR="0067591B" w:rsidRDefault="0067591B" w:rsidP="00B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6BB1" w14:textId="77777777" w:rsidR="00B853D4" w:rsidRDefault="00B853D4">
    <w:pPr>
      <w:pStyle w:val="ac"/>
      <w:jc w:val="center"/>
    </w:pPr>
  </w:p>
  <w:p w14:paraId="2DC34835" w14:textId="77777777" w:rsidR="00B853D4" w:rsidRDefault="00B85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F7C2" w14:textId="77777777" w:rsidR="0067591B" w:rsidRDefault="0067591B" w:rsidP="00B853D4">
      <w:pPr>
        <w:spacing w:after="0" w:line="240" w:lineRule="auto"/>
      </w:pPr>
      <w:r>
        <w:separator/>
      </w:r>
    </w:p>
  </w:footnote>
  <w:footnote w:type="continuationSeparator" w:id="0">
    <w:p w14:paraId="75D64F2B" w14:textId="77777777" w:rsidR="0067591B" w:rsidRDefault="0067591B" w:rsidP="00B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265760"/>
      <w:docPartObj>
        <w:docPartGallery w:val="Page Numbers (Top of Page)"/>
        <w:docPartUnique/>
      </w:docPartObj>
    </w:sdtPr>
    <w:sdtContent>
      <w:p w14:paraId="2A56CFB1" w14:textId="77777777" w:rsidR="00B67DF3" w:rsidRDefault="00B67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A8042" w14:textId="77777777" w:rsidR="00B67DF3" w:rsidRDefault="00B67D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A1C04"/>
    <w:multiLevelType w:val="hybridMultilevel"/>
    <w:tmpl w:val="19E498FC"/>
    <w:lvl w:ilvl="0" w:tplc="C030A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26"/>
    <w:rsid w:val="0017387A"/>
    <w:rsid w:val="001A1738"/>
    <w:rsid w:val="0021519A"/>
    <w:rsid w:val="00227413"/>
    <w:rsid w:val="002817E0"/>
    <w:rsid w:val="002C30F5"/>
    <w:rsid w:val="002E6F18"/>
    <w:rsid w:val="00374317"/>
    <w:rsid w:val="003933A7"/>
    <w:rsid w:val="0044595B"/>
    <w:rsid w:val="0049096F"/>
    <w:rsid w:val="00547926"/>
    <w:rsid w:val="006663AD"/>
    <w:rsid w:val="0067591B"/>
    <w:rsid w:val="00685306"/>
    <w:rsid w:val="006B605A"/>
    <w:rsid w:val="00777D97"/>
    <w:rsid w:val="007F638D"/>
    <w:rsid w:val="00825A51"/>
    <w:rsid w:val="00833851"/>
    <w:rsid w:val="00846719"/>
    <w:rsid w:val="00894A1C"/>
    <w:rsid w:val="00947F22"/>
    <w:rsid w:val="00990EB7"/>
    <w:rsid w:val="00AC1E23"/>
    <w:rsid w:val="00B60552"/>
    <w:rsid w:val="00B67DF3"/>
    <w:rsid w:val="00B853D4"/>
    <w:rsid w:val="00EC5107"/>
    <w:rsid w:val="00E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22BE"/>
  <w15:chartTrackingRefBased/>
  <w15:docId w15:val="{A74869B6-07DD-4327-AC43-EED0D92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26"/>
    <w:pPr>
      <w:spacing w:after="0" w:line="276" w:lineRule="auto"/>
      <w:ind w:left="720"/>
      <w:contextualSpacing/>
    </w:pPr>
    <w:rPr>
      <w:rFonts w:ascii="Arial" w:eastAsia="Arial" w:hAnsi="Arial" w:cs="Arial"/>
      <w:lang w:val="ru" w:eastAsia="uk-UA"/>
    </w:rPr>
  </w:style>
  <w:style w:type="paragraph" w:styleId="a4">
    <w:name w:val="Body Text"/>
    <w:aliases w:val=" Знак,Знак"/>
    <w:basedOn w:val="a"/>
    <w:link w:val="a5"/>
    <w:rsid w:val="0054792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Основний текст Знак"/>
    <w:aliases w:val=" Знак Знак,Знак Знак"/>
    <w:basedOn w:val="a0"/>
    <w:link w:val="a4"/>
    <w:rsid w:val="0054792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rvts23">
    <w:name w:val="rvts23"/>
    <w:rsid w:val="001A1738"/>
  </w:style>
  <w:style w:type="character" w:customStyle="1" w:styleId="rvts9">
    <w:name w:val="rvts9"/>
    <w:rsid w:val="001A1738"/>
  </w:style>
  <w:style w:type="character" w:customStyle="1" w:styleId="rvts37">
    <w:name w:val="rvts37"/>
    <w:basedOn w:val="a0"/>
    <w:rsid w:val="001A1738"/>
  </w:style>
  <w:style w:type="paragraph" w:customStyle="1" w:styleId="a6">
    <w:name w:val="Нормальний текст"/>
    <w:basedOn w:val="a"/>
    <w:link w:val="a7"/>
    <w:uiPriority w:val="99"/>
    <w:rsid w:val="00685306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6"/>
      <w:lang w:val="uk-UA" w:eastAsia="x-none"/>
    </w:rPr>
  </w:style>
  <w:style w:type="character" w:customStyle="1" w:styleId="a7">
    <w:name w:val="Нормальний текст Знак"/>
    <w:link w:val="a6"/>
    <w:uiPriority w:val="99"/>
    <w:locked/>
    <w:rsid w:val="00685306"/>
    <w:rPr>
      <w:rFonts w:ascii="Antiqua" w:eastAsia="Times New Roman" w:hAnsi="Antiqua" w:cs="Times New Roman"/>
      <w:sz w:val="26"/>
      <w:szCs w:val="26"/>
      <w:lang w:val="uk-UA" w:eastAsia="x-none"/>
    </w:rPr>
  </w:style>
  <w:style w:type="paragraph" w:customStyle="1" w:styleId="rvps2">
    <w:name w:val="rvps2"/>
    <w:basedOn w:val="a"/>
    <w:rsid w:val="009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94A1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53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853D4"/>
  </w:style>
  <w:style w:type="paragraph" w:styleId="ac">
    <w:name w:val="footer"/>
    <w:basedOn w:val="a"/>
    <w:link w:val="ad"/>
    <w:uiPriority w:val="99"/>
    <w:unhideWhenUsed/>
    <w:rsid w:val="00B853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8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2C96-6898-435A-BDA7-76CFAA03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11550</Words>
  <Characters>6585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Єзерська М.І.</dc:creator>
  <cp:keywords/>
  <dc:description/>
  <cp:lastModifiedBy>Ауріка Анатоліївна Маліновська</cp:lastModifiedBy>
  <cp:revision>2</cp:revision>
  <cp:lastPrinted>2024-08-07T15:05:00Z</cp:lastPrinted>
  <dcterms:created xsi:type="dcterms:W3CDTF">2024-08-12T09:43:00Z</dcterms:created>
  <dcterms:modified xsi:type="dcterms:W3CDTF">2024-08-12T09:43:00Z</dcterms:modified>
</cp:coreProperties>
</file>