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6270" w14:textId="17BE6E11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</w:p>
    <w:p w14:paraId="2BBA2061" w14:textId="77777777" w:rsidR="009716A5" w:rsidRPr="00FA493E" w:rsidRDefault="00640346" w:rsidP="00644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>до проекту</w:t>
      </w:r>
      <w:proofErr w:type="gramEnd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постанови </w:t>
      </w:r>
      <w:proofErr w:type="spellStart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FA49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Hlk83375246"/>
    </w:p>
    <w:bookmarkEnd w:id="0"/>
    <w:p w14:paraId="3087233B" w14:textId="77777777" w:rsidR="00D437B8" w:rsidRPr="00FA493E" w:rsidRDefault="006D4AD3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6488"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“</w:t>
      </w:r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внесення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змін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деяких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постанов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окремих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питань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спеціального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використання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лісових</w:t>
      </w:r>
      <w:proofErr w:type="spellEnd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437B8" w:rsidRPr="00536488">
        <w:rPr>
          <w:rFonts w:ascii="Times New Roman" w:hAnsi="Times New Roman" w:cs="Times New Roman"/>
          <w:b/>
          <w:sz w:val="28"/>
          <w:szCs w:val="28"/>
          <w:lang w:val="ru-RU"/>
        </w:rPr>
        <w:t>ресурсів</w:t>
      </w:r>
      <w:proofErr w:type="spellEnd"/>
      <w:r w:rsidRPr="00536488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</w:p>
    <w:p w14:paraId="3BAD5BD9" w14:textId="7BA62930" w:rsidR="009E1DB2" w:rsidRPr="00FA493E" w:rsidRDefault="009E1DB2" w:rsidP="00644FF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далі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A493E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</w:t>
      </w:r>
      <w:r w:rsidR="00640346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кт </w:t>
      </w:r>
      <w:r w:rsidR="00640346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акта</w:t>
      </w: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4A962BC" w14:textId="77777777" w:rsidR="00BC7477" w:rsidRPr="00536488" w:rsidRDefault="00BC7477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3D8409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Визначення проблеми</w:t>
      </w:r>
    </w:p>
    <w:p w14:paraId="5FFF40E2" w14:textId="77777777" w:rsidR="00833123" w:rsidRPr="00536488" w:rsidRDefault="00833123" w:rsidP="00842103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660C47" w14:textId="0CA7716B" w:rsidR="00C15CF9" w:rsidRPr="00FA493E" w:rsidRDefault="00C15CF9" w:rsidP="00CA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Відповідно до пункту 1 частини першої статті 67 Лісового кодексу України у порядку спеціального використання можуть здійснюватися такі види використання лісових ресурсів, зокрема, як заготівля деревини.</w:t>
      </w:r>
    </w:p>
    <w:p w14:paraId="60FDAC70" w14:textId="7ECE3F79" w:rsidR="00CC36EF" w:rsidRPr="00FA493E" w:rsidRDefault="00640346" w:rsidP="00CA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Статтею </w:t>
      </w:r>
      <w:r w:rsidR="00CC36EF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70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Лісового кодексу України визначено, що </w:t>
      </w:r>
      <w:r w:rsidR="00CC36EF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заготівля деревини здійснюється при використанні лісових ресурсів у порядку рубок головного користування, що проводяться в стиглих і перестійних </w:t>
      </w:r>
      <w:proofErr w:type="spellStart"/>
      <w:r w:rsidR="00CC36EF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деревостанах</w:t>
      </w:r>
      <w:proofErr w:type="spellEnd"/>
      <w:r w:rsidR="00CC36EF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C3EDFEA" w14:textId="08A1CB0A" w:rsidR="00CC36EF" w:rsidRPr="00FA493E" w:rsidRDefault="00CC36EF" w:rsidP="00CA5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Деревина </w:t>
      </w:r>
      <w:proofErr w:type="spellStart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заготовляється</w:t>
      </w:r>
      <w:proofErr w:type="spellEnd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також під час здійснення лісогосподарських заходів, не пов'язаних з використанням лісових ресурсів (поліпшення якісного складу лісів), та під час проведення інших заходів (розчищення лісових ділянок, вкритих лісовою рослинністю, у зв'язку з будівництвом гідровузлів, трубопроводів, шляхів тощо).</w:t>
      </w:r>
    </w:p>
    <w:p w14:paraId="1B4FF623" w14:textId="62A78023" w:rsidR="00012BD8" w:rsidRPr="00FA493E" w:rsidRDefault="00012BD8" w:rsidP="00CA5C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Підготовка </w:t>
      </w:r>
      <w:proofErr w:type="spellStart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акта</w:t>
      </w:r>
      <w:proofErr w:type="spellEnd"/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викликана необхідністю чіткого визначення порядку проведення підготовчих робіт при спеціальному використанні лісових ресурсів, урегулювання питань вирубування дерев і чагарників, пов’язаних з проведенням підготовчих робіт, проведенням рубок для науково-дослідних цілей, скасування окремих інструментів регулювання господарської діяльності при спеціальному використанні лісових ресурсів, приведення </w:t>
      </w:r>
      <w:r w:rsidR="009A5CCA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Порядку спеціального використання лісових ресурсів, затвердженого постановою Кабінету Міністрів України від 23 травня 2007 року № 761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у відповідність до Лісового та Податкового кодексу України, а також приведення нормативно-правових актів Кабінету Міністрів України із Законами України </w:t>
      </w:r>
      <w:r w:rsidR="00357828" w:rsidRPr="0053648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“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</w:t>
      </w:r>
      <w:r w:rsidR="00357828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дури у сфері земельних відносин</w:t>
      </w:r>
      <w:r w:rsidR="00357828" w:rsidRPr="0053648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”</w:t>
      </w:r>
      <w:r w:rsidR="00357828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357828" w:rsidRPr="0053648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“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у зв’яз</w:t>
      </w:r>
      <w:r w:rsidR="00357828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ку з прийняттям Закону України </w:t>
      </w:r>
      <w:r w:rsidR="00357828" w:rsidRPr="0053648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“</w:t>
      </w:r>
      <w:r w:rsidR="00357828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Про адміністративну процедуру</w:t>
      </w:r>
      <w:r w:rsidR="00357828" w:rsidRPr="0053648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””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5E6435B" w14:textId="0B7ED221" w:rsidR="00CA5C4A" w:rsidRPr="00536488" w:rsidRDefault="00CA5C4A" w:rsidP="00CA5C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6488">
        <w:rPr>
          <w:rFonts w:ascii="Times New Roman" w:hAnsi="Times New Roman"/>
          <w:sz w:val="28"/>
          <w:szCs w:val="28"/>
          <w:lang w:val="ru-RU"/>
        </w:rPr>
        <w:t xml:space="preserve">На даний час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регулювання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зазначених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вище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здійснюється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наступними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Pr="00536488">
        <w:rPr>
          <w:rFonts w:ascii="Times New Roman" w:hAnsi="Times New Roman"/>
          <w:sz w:val="28"/>
          <w:szCs w:val="28"/>
          <w:lang w:val="ru-RU"/>
        </w:rPr>
        <w:t>правовими</w:t>
      </w:r>
      <w:proofErr w:type="spellEnd"/>
      <w:r w:rsidRPr="00536488">
        <w:rPr>
          <w:rFonts w:ascii="Times New Roman" w:hAnsi="Times New Roman"/>
          <w:sz w:val="28"/>
          <w:szCs w:val="28"/>
          <w:lang w:val="ru-RU"/>
        </w:rPr>
        <w:t xml:space="preserve"> актами:</w:t>
      </w:r>
    </w:p>
    <w:p w14:paraId="0DB2CB23" w14:textId="77777777" w:rsidR="00CA5C4A" w:rsidRPr="00FA493E" w:rsidRDefault="00CA5C4A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Cs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t>Лісовим кодексом України;</w:t>
      </w:r>
    </w:p>
    <w:p w14:paraId="1F27B65D" w14:textId="77777777" w:rsidR="00CA5C4A" w:rsidRPr="00FA493E" w:rsidRDefault="00CA5C4A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Cs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t>Податковим кодексом України;</w:t>
      </w:r>
    </w:p>
    <w:p w14:paraId="518BCD8C" w14:textId="3785D4DB" w:rsidR="00CA5C4A" w:rsidRPr="00FA493E" w:rsidRDefault="00CA5C4A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Cs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t xml:space="preserve">Закон України </w:t>
      </w:r>
      <w:r w:rsidRPr="00536488">
        <w:rPr>
          <w:rStyle w:val="ad"/>
          <w:iCs/>
          <w:sz w:val="28"/>
          <w:szCs w:val="28"/>
          <w:lang w:val="uk-UA"/>
        </w:rPr>
        <w:t>“</w:t>
      </w:r>
      <w:r w:rsidRPr="00536488">
        <w:rPr>
          <w:bCs/>
          <w:i w:val="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 w:rsidRPr="00536488">
        <w:rPr>
          <w:rStyle w:val="ad"/>
          <w:iCs/>
          <w:sz w:val="28"/>
          <w:szCs w:val="28"/>
          <w:lang w:val="uk-UA"/>
        </w:rPr>
        <w:t>”</w:t>
      </w:r>
      <w:r w:rsidRPr="00FA493E">
        <w:rPr>
          <w:rStyle w:val="ad"/>
          <w:iCs/>
          <w:sz w:val="28"/>
          <w:szCs w:val="28"/>
          <w:lang w:val="uk-UA"/>
        </w:rPr>
        <w:t>;</w:t>
      </w:r>
    </w:p>
    <w:p w14:paraId="7B5963CD" w14:textId="2375C730" w:rsidR="00CA5C4A" w:rsidRPr="00FA493E" w:rsidRDefault="00CA5C4A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Cs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t xml:space="preserve">Законом України </w:t>
      </w:r>
      <w:r w:rsidRPr="00536488">
        <w:rPr>
          <w:rStyle w:val="ad"/>
          <w:iCs/>
          <w:sz w:val="28"/>
          <w:szCs w:val="28"/>
        </w:rPr>
        <w:t>“</w:t>
      </w:r>
      <w:r w:rsidRPr="00FA493E">
        <w:rPr>
          <w:bCs/>
          <w:i w:val="0"/>
          <w:sz w:val="28"/>
          <w:szCs w:val="28"/>
          <w:shd w:val="clear" w:color="auto" w:fill="FFFFFF"/>
        </w:rPr>
        <w:t xml:space="preserve">Про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внесення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змін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до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деяких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законодавчих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актів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України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у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зв’язку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з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прийняттям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Закону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України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</w:t>
      </w:r>
      <w:r w:rsidRPr="00536488">
        <w:rPr>
          <w:bCs/>
          <w:i w:val="0"/>
          <w:sz w:val="28"/>
          <w:szCs w:val="28"/>
          <w:shd w:val="clear" w:color="auto" w:fill="FFFFFF"/>
        </w:rPr>
        <w:t>“</w:t>
      </w:r>
      <w:r w:rsidRPr="00FA493E">
        <w:rPr>
          <w:bCs/>
          <w:i w:val="0"/>
          <w:sz w:val="28"/>
          <w:szCs w:val="28"/>
          <w:shd w:val="clear" w:color="auto" w:fill="FFFFFF"/>
        </w:rPr>
        <w:t xml:space="preserve">Про </w:t>
      </w:r>
      <w:proofErr w:type="spellStart"/>
      <w:r w:rsidRPr="00FA493E">
        <w:rPr>
          <w:bCs/>
          <w:i w:val="0"/>
          <w:sz w:val="28"/>
          <w:szCs w:val="28"/>
          <w:shd w:val="clear" w:color="auto" w:fill="FFFFFF"/>
        </w:rPr>
        <w:t>адміністративну</w:t>
      </w:r>
      <w:proofErr w:type="spellEnd"/>
      <w:r w:rsidRPr="00FA493E">
        <w:rPr>
          <w:bCs/>
          <w:i w:val="0"/>
          <w:sz w:val="28"/>
          <w:szCs w:val="28"/>
          <w:shd w:val="clear" w:color="auto" w:fill="FFFFFF"/>
        </w:rPr>
        <w:t xml:space="preserve"> процедуру</w:t>
      </w:r>
      <w:r w:rsidRPr="00536488">
        <w:rPr>
          <w:bCs/>
          <w:i w:val="0"/>
          <w:sz w:val="28"/>
          <w:szCs w:val="28"/>
          <w:shd w:val="clear" w:color="auto" w:fill="FFFFFF"/>
        </w:rPr>
        <w:t>””</w:t>
      </w:r>
      <w:r w:rsidRPr="00FA493E">
        <w:rPr>
          <w:rStyle w:val="ad"/>
          <w:iCs/>
          <w:sz w:val="28"/>
          <w:szCs w:val="28"/>
          <w:lang w:val="uk-UA"/>
        </w:rPr>
        <w:t>;</w:t>
      </w:r>
    </w:p>
    <w:p w14:paraId="2F56978D" w14:textId="77777777" w:rsidR="00CA5C4A" w:rsidRPr="00FA493E" w:rsidRDefault="00CA5C4A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Cs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t>Правилами поліпшення якісного складу лісів, проведення інших рубок та робіт, пов’язаних і не пов’язаних із веденням лісового господарства, затвердженими постановою Кабінету Міністрів України від 12 травня 2007 р. № 724;</w:t>
      </w:r>
    </w:p>
    <w:p w14:paraId="2800BB3D" w14:textId="004DCA04" w:rsidR="00CA5C4A" w:rsidRPr="00FA493E" w:rsidRDefault="002E31B5" w:rsidP="00CA5C4A">
      <w:pPr>
        <w:pStyle w:val="11"/>
        <w:shd w:val="clear" w:color="auto" w:fill="auto"/>
        <w:spacing w:after="0" w:line="240" w:lineRule="auto"/>
        <w:ind w:firstLine="709"/>
        <w:rPr>
          <w:rStyle w:val="ad"/>
          <w:i/>
          <w:sz w:val="28"/>
          <w:szCs w:val="28"/>
          <w:lang w:val="uk-UA"/>
        </w:rPr>
      </w:pPr>
      <w:r w:rsidRPr="00FA493E">
        <w:rPr>
          <w:rStyle w:val="ad"/>
          <w:iCs/>
          <w:sz w:val="28"/>
          <w:szCs w:val="28"/>
          <w:lang w:val="uk-UA"/>
        </w:rPr>
        <w:lastRenderedPageBreak/>
        <w:t xml:space="preserve">Порядком спеціального </w:t>
      </w:r>
      <w:r w:rsidR="00CA5C4A" w:rsidRPr="00FA493E">
        <w:rPr>
          <w:rStyle w:val="ad"/>
          <w:iCs/>
          <w:sz w:val="28"/>
          <w:szCs w:val="28"/>
          <w:lang w:val="uk-UA"/>
        </w:rPr>
        <w:t>використання лісових ресурсів, затвердженим постановою Кабінету Міністрів Ук</w:t>
      </w:r>
      <w:r w:rsidRPr="00FA493E">
        <w:rPr>
          <w:rStyle w:val="ad"/>
          <w:iCs/>
          <w:sz w:val="28"/>
          <w:szCs w:val="28"/>
          <w:lang w:val="uk-UA"/>
        </w:rPr>
        <w:t>раїни від 23 травня 2007 року № </w:t>
      </w:r>
      <w:r w:rsidR="00CA5C4A" w:rsidRPr="00FA493E">
        <w:rPr>
          <w:rStyle w:val="ad"/>
          <w:iCs/>
          <w:sz w:val="28"/>
          <w:szCs w:val="28"/>
          <w:lang w:val="uk-UA"/>
        </w:rPr>
        <w:t>761</w:t>
      </w:r>
      <w:r w:rsidR="009A5CCA" w:rsidRPr="00FA493E">
        <w:rPr>
          <w:rStyle w:val="ad"/>
          <w:iCs/>
          <w:sz w:val="28"/>
          <w:szCs w:val="28"/>
          <w:lang w:val="uk-UA"/>
        </w:rPr>
        <w:t xml:space="preserve"> (далі – Порядок)</w:t>
      </w:r>
      <w:r w:rsidR="00CA5C4A" w:rsidRPr="00FA493E">
        <w:rPr>
          <w:rStyle w:val="ad"/>
          <w:iCs/>
          <w:sz w:val="28"/>
          <w:szCs w:val="28"/>
          <w:lang w:val="uk-UA"/>
        </w:rPr>
        <w:t>;</w:t>
      </w:r>
    </w:p>
    <w:p w14:paraId="3F1BE3C9" w14:textId="24FD10D6" w:rsidR="00CA5C4A" w:rsidRPr="00536488" w:rsidRDefault="00CA5C4A" w:rsidP="00CA5C4A">
      <w:pPr>
        <w:tabs>
          <w:tab w:val="left" w:pos="567"/>
        </w:tabs>
        <w:spacing w:after="0" w:line="240" w:lineRule="auto"/>
        <w:ind w:firstLine="709"/>
        <w:jc w:val="both"/>
        <w:rPr>
          <w:rStyle w:val="ng-star-inserted1"/>
          <w:rFonts w:ascii="Times New Roman" w:hAnsi="Times New Roman"/>
          <w:sz w:val="28"/>
          <w:szCs w:val="28"/>
          <w:lang w:val="ru-RU"/>
        </w:rPr>
      </w:pPr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Правилами рубок головного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гірських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лісах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Карпат, </w:t>
      </w:r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Карпат,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затверджених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постановою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22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2008 р. №</w:t>
      </w:r>
      <w:r w:rsidRPr="00FA493E">
        <w:rPr>
          <w:rStyle w:val="ng-star-inserted1"/>
          <w:rFonts w:ascii="Times New Roman" w:hAnsi="Times New Roman"/>
          <w:sz w:val="28"/>
          <w:szCs w:val="28"/>
          <w:lang w:val="uk-UA"/>
        </w:rPr>
        <w:t> </w:t>
      </w:r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929;</w:t>
      </w:r>
    </w:p>
    <w:p w14:paraId="2BFE5A95" w14:textId="77777777" w:rsidR="00CA5C4A" w:rsidRPr="00536488" w:rsidRDefault="00CA5C4A" w:rsidP="00CA5C4A">
      <w:pPr>
        <w:tabs>
          <w:tab w:val="left" w:pos="567"/>
        </w:tabs>
        <w:spacing w:after="0" w:line="240" w:lineRule="auto"/>
        <w:ind w:firstLine="709"/>
        <w:jc w:val="both"/>
        <w:rPr>
          <w:rStyle w:val="ng-star-inserted1"/>
          <w:rFonts w:ascii="Times New Roman" w:hAnsi="Times New Roman"/>
          <w:sz w:val="28"/>
          <w:szCs w:val="28"/>
          <w:lang w:val="ru-RU"/>
        </w:rPr>
      </w:pPr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Правилами рубок головного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затвердженими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Держкомлісгоспу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23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2009 р. № 364,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зареєстрованим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Мін’юсті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26 </w:t>
      </w:r>
      <w:proofErr w:type="spellStart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>січня</w:t>
      </w:r>
      <w:proofErr w:type="spellEnd"/>
      <w:r w:rsidRPr="00536488">
        <w:rPr>
          <w:rStyle w:val="ng-star-inserted1"/>
          <w:rFonts w:ascii="Times New Roman" w:hAnsi="Times New Roman"/>
          <w:sz w:val="28"/>
          <w:szCs w:val="28"/>
          <w:lang w:val="ru-RU"/>
        </w:rPr>
        <w:t xml:space="preserve"> 2010 р. за № 85/17380;</w:t>
      </w:r>
    </w:p>
    <w:p w14:paraId="57E5C152" w14:textId="4CE5D68A" w:rsidR="00CA5C4A" w:rsidRPr="00536488" w:rsidRDefault="00CA5C4A" w:rsidP="00CA5C4A">
      <w:pPr>
        <w:tabs>
          <w:tab w:val="left" w:pos="567"/>
        </w:tabs>
        <w:spacing w:after="0" w:line="240" w:lineRule="auto"/>
        <w:ind w:firstLine="709"/>
        <w:jc w:val="both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Порядком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вирубування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дерев і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чагарників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одержаної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цьому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деревини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зміни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цільового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призначення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лісових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встановлення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сервітуту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з метою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їх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цілях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пов’язаних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із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веденням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та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переведення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лісових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нелісових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земель,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затвердженим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br/>
      </w:r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4 лютого 2023 р. № 105;</w:t>
      </w:r>
    </w:p>
    <w:p w14:paraId="243653A9" w14:textId="77777777" w:rsidR="00CA5C4A" w:rsidRPr="00536488" w:rsidRDefault="00CA5C4A" w:rsidP="00CA5C4A">
      <w:pPr>
        <w:tabs>
          <w:tab w:val="left" w:pos="567"/>
        </w:tabs>
        <w:spacing w:after="0" w:line="240" w:lineRule="auto"/>
        <w:ind w:firstLine="709"/>
        <w:jc w:val="both"/>
        <w:rPr>
          <w:rStyle w:val="ng-star-inserted1"/>
          <w:rFonts w:ascii="Times New Roman" w:hAnsi="Times New Roman"/>
          <w:sz w:val="28"/>
          <w:szCs w:val="28"/>
          <w:lang w:val="ru-RU"/>
        </w:rPr>
      </w:pP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Мінімальними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вимогами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безпеки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здоров’я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роботі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під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робіт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із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зеленими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насадженнями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наказом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Мінекономіки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27 листопада 2023 р. № 17953,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зареєстрованим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Мін’юсті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13 </w:t>
      </w:r>
      <w:proofErr w:type="spellStart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грудня</w:t>
      </w:r>
      <w:proofErr w:type="spellEnd"/>
      <w:r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2023 р. за № 2167/41223.</w:t>
      </w:r>
    </w:p>
    <w:p w14:paraId="05A8FD8B" w14:textId="490574D5" w:rsidR="00701529" w:rsidRPr="00FA493E" w:rsidRDefault="00FF4EA6" w:rsidP="00701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Ч</w:t>
      </w:r>
      <w:r w:rsidR="00701529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инними нормативно-правовими актами чітко не врегульовані </w:t>
      </w:r>
      <w:r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поставлені вище </w:t>
      </w:r>
      <w:r w:rsidR="00701529" w:rsidRPr="00FA493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питання.</w:t>
      </w:r>
    </w:p>
    <w:p w14:paraId="4CA60CF5" w14:textId="56B62864" w:rsidR="00F30B65" w:rsidRPr="00536488" w:rsidRDefault="00F30B65" w:rsidP="00B826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F9BFC" w14:textId="77777777" w:rsidR="00666282" w:rsidRPr="00FA493E" w:rsidRDefault="00666282" w:rsidP="006F08D0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</w:t>
      </w:r>
    </w:p>
    <w:tbl>
      <w:tblPr>
        <w:tblW w:w="4925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9"/>
        <w:gridCol w:w="1389"/>
        <w:gridCol w:w="1290"/>
      </w:tblGrid>
      <w:tr w:rsidR="00666282" w:rsidRPr="00FA493E" w14:paraId="77B88751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2DFD0F6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підгрупи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6052F8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5BD99F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Ні</w:t>
            </w:r>
            <w:proofErr w:type="spellEnd"/>
          </w:p>
        </w:tc>
      </w:tr>
      <w:tr w:rsidR="00666282" w:rsidRPr="00FA493E" w14:paraId="4139CED7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D2C379E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45E98B8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C15891C" w14:textId="77777777" w:rsidR="00666282" w:rsidRPr="00FA493E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666282" w:rsidRPr="00FA493E" w14:paraId="4D47C172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1C0D583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Держава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CBE067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16C92C7" w14:textId="77777777" w:rsidR="00666282" w:rsidRPr="00FA493E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282" w:rsidRPr="00FA493E" w14:paraId="0046B72E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4D5147F" w14:textId="77777777" w:rsidR="00666282" w:rsidRPr="00FA493E" w:rsidRDefault="00666282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господа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рювання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801D10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6E7A8E3" w14:textId="77777777" w:rsidR="00666282" w:rsidRPr="00FA493E" w:rsidRDefault="00666282" w:rsidP="00842103">
            <w:pPr>
              <w:spacing w:after="0" w:line="240" w:lineRule="auto"/>
              <w:ind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82" w:rsidRPr="00FA493E" w14:paraId="5A967273" w14:textId="77777777" w:rsidTr="00355697">
        <w:tc>
          <w:tcPr>
            <w:tcW w:w="3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3EE015B" w14:textId="77777777" w:rsidR="00666282" w:rsidRPr="00FA493E" w:rsidRDefault="006C3040" w:rsidP="00842103">
            <w:pPr>
              <w:spacing w:after="0"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малого </w:t>
            </w:r>
            <w:proofErr w:type="spellStart"/>
            <w:r w:rsidR="0066628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підприємництва</w:t>
            </w:r>
            <w:proofErr w:type="spellEnd"/>
          </w:p>
        </w:tc>
        <w:tc>
          <w:tcPr>
            <w:tcW w:w="7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CB6C8E4" w14:textId="77777777" w:rsidR="00666282" w:rsidRPr="00FA493E" w:rsidRDefault="00666282" w:rsidP="00C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B45A9F9" w14:textId="77777777" w:rsidR="00666282" w:rsidRPr="00FA493E" w:rsidRDefault="00A10C53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58B17A12" w14:textId="77777777" w:rsidR="00B576D3" w:rsidRPr="00536488" w:rsidRDefault="00B576D3" w:rsidP="000A31C9">
      <w:pPr>
        <w:pStyle w:val="a4"/>
        <w:tabs>
          <w:tab w:val="clear" w:pos="4677"/>
          <w:tab w:val="center" w:pos="709"/>
        </w:tabs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2BA4EBA4" w14:textId="02A8E4C0" w:rsidR="00666282" w:rsidRPr="00FA493E" w:rsidRDefault="00666282" w:rsidP="00644FF4">
      <w:pPr>
        <w:pStyle w:val="a4"/>
        <w:tabs>
          <w:tab w:val="clear" w:pos="4677"/>
          <w:tab w:val="center" w:pos="709"/>
        </w:tabs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І</w:t>
      </w:r>
      <w:r w:rsidR="00396478"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en-US"/>
        </w:rPr>
        <w:t>I</w:t>
      </w:r>
      <w:r w:rsidR="000F4FEB"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. Цілі державного </w:t>
      </w:r>
      <w:r w:rsidRPr="00FA49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регулювання</w:t>
      </w:r>
    </w:p>
    <w:p w14:paraId="70F0CA04" w14:textId="77777777" w:rsidR="000250B6" w:rsidRPr="00536488" w:rsidRDefault="000250B6" w:rsidP="000A31C9">
      <w:pPr>
        <w:pStyle w:val="a4"/>
        <w:tabs>
          <w:tab w:val="clear" w:pos="4677"/>
          <w:tab w:val="center" w:pos="709"/>
        </w:tabs>
        <w:ind w:firstLine="709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14:paraId="68596245" w14:textId="05CBFCF5" w:rsidR="00FF4EA6" w:rsidRPr="00FA493E" w:rsidRDefault="002A7A6C" w:rsidP="00701529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На даний час існує суперечність з питань проведення рубок щодо вимог Лісового </w:t>
      </w:r>
      <w:r w:rsidR="00FF4EA6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 Податкового кодексів</w:t>
      </w: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України та </w:t>
      </w:r>
      <w:r w:rsidR="00FF4EA6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інших </w:t>
      </w: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нормативно-правових актів, які повинн</w:t>
      </w:r>
      <w:r w:rsidR="00FF4EA6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 регулювати зазначене питання.</w:t>
      </w:r>
    </w:p>
    <w:p w14:paraId="7DB3F175" w14:textId="0344B10E" w:rsidR="00FF4EA6" w:rsidRPr="00FA493E" w:rsidRDefault="00FF4EA6" w:rsidP="00701529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Зокрема, пункт 64 Порядку суперечить абзацу другому підпункту 256.11.2 пункту 256.11 статті 256 Податкового кодексу України.</w:t>
      </w:r>
    </w:p>
    <w:p w14:paraId="7D490AA6" w14:textId="0DADC446" w:rsidR="00FF4EA6" w:rsidRPr="00FA493E" w:rsidRDefault="00FF4EA6" w:rsidP="00701529">
      <w:pPr>
        <w:pStyle w:val="a4"/>
        <w:tabs>
          <w:tab w:val="center" w:pos="709"/>
        </w:tabs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Крім тог</w:t>
      </w:r>
      <w:r w:rsidR="00D9644B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о, </w:t>
      </w:r>
      <w:r w:rsidR="00536488" w:rsidRPr="0053648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згідно зі</w:t>
      </w:r>
      <w:r w:rsidR="00D9644B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змін</w:t>
      </w:r>
      <w:r w:rsidR="0053648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ами</w:t>
      </w:r>
      <w:r w:rsidR="00D9644B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до с</w:t>
      </w:r>
      <w:r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татті 58 Лісового кодексу України</w:t>
      </w:r>
      <w:r w:rsidR="00D9644B" w:rsidRPr="00FA49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D9644B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частині врегулювання питань вирубування дерев і чагарників у разі проведення на земельних лісових ділянках розвідувальних, </w:t>
      </w:r>
      <w:proofErr w:type="spellStart"/>
      <w:r w:rsidR="00D9644B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геологознімальних</w:t>
      </w:r>
      <w:proofErr w:type="spellEnd"/>
      <w:r w:rsidR="00D9644B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пошукових та інших робіт з метою їх використання в цілях, не пов’язаних з веденням лісового господарства</w:t>
      </w:r>
      <w:r w:rsidR="00D9644B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потребує внесення відповідних змін </w:t>
      </w:r>
      <w:r w:rsidR="00D9644B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</w:t>
      </w:r>
      <w:r w:rsidR="00D9644B" w:rsidRPr="0053648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постанови Кабінету Міністрів України від 4 лютого 2023 р. № 105 “Про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земель”.</w:t>
      </w:r>
    </w:p>
    <w:p w14:paraId="6EE6D392" w14:textId="081996E4" w:rsidR="00F621B7" w:rsidRPr="00FA493E" w:rsidRDefault="00F621B7" w:rsidP="00F6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A493E">
        <w:rPr>
          <w:rFonts w:ascii="Times New Roman" w:hAnsi="Times New Roman"/>
          <w:sz w:val="28"/>
          <w:lang w:val="uk-UA"/>
        </w:rPr>
        <w:lastRenderedPageBreak/>
        <w:t>У пункті 5 Правил поліпшення якісного складу лісів, проведення інших рубок та робіт, пов’язаних і не пов’язаних із веденням лісового господарства, затверджених постановою Кабінету Міністрів України від 12 травня 2007 р. № 724, та у пункті 5 Правил рубок головного користування в гірських лісах Карпат, затверджених постановою Кабінету Міністрів України від 22.10.2008 № 929, запропоновано ввести рубки для науково-дослідних цілей.</w:t>
      </w:r>
    </w:p>
    <w:p w14:paraId="284F6FAB" w14:textId="2AA7F7CE" w:rsidR="00F621B7" w:rsidRPr="00FA493E" w:rsidRDefault="00F621B7" w:rsidP="00F6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A493E">
        <w:rPr>
          <w:rFonts w:ascii="Times New Roman" w:hAnsi="Times New Roman"/>
          <w:sz w:val="28"/>
          <w:lang w:val="uk-UA"/>
        </w:rPr>
        <w:t xml:space="preserve">Зазначені рубки не є новими, вони проводилися і раніше в наукових установах та лісогосподарських підприємствах для впровадження на практиці та перевірки наукових напрацювань щодо окремих питань ведення лісового господарства. Зважаючи на той факт, що проведення рубок для науково-дослідних цілей не було передбачено в чинних нормативно-правових актах, для їх проведення наукова установа або лісогосподарське підприємство отримувало відповідний лист від </w:t>
      </w:r>
      <w:proofErr w:type="spellStart"/>
      <w:r w:rsidRPr="00FA493E">
        <w:rPr>
          <w:rFonts w:ascii="Times New Roman" w:hAnsi="Times New Roman"/>
          <w:sz w:val="28"/>
          <w:lang w:val="uk-UA"/>
        </w:rPr>
        <w:t>Держлісагентства</w:t>
      </w:r>
      <w:proofErr w:type="spellEnd"/>
      <w:r w:rsidRPr="00FA493E">
        <w:rPr>
          <w:rFonts w:ascii="Times New Roman" w:hAnsi="Times New Roman"/>
          <w:sz w:val="28"/>
          <w:lang w:val="uk-UA"/>
        </w:rPr>
        <w:t>.</w:t>
      </w:r>
    </w:p>
    <w:p w14:paraId="0064A220" w14:textId="4F519DA0" w:rsidR="00DC395A" w:rsidRPr="00FA493E" w:rsidRDefault="00DC395A" w:rsidP="000E7E7D">
      <w:pPr>
        <w:tabs>
          <w:tab w:val="left" w:pos="567"/>
        </w:tabs>
        <w:spacing w:after="0" w:line="240" w:lineRule="auto"/>
        <w:ind w:firstLine="709"/>
        <w:jc w:val="both"/>
        <w:rPr>
          <w:rStyle w:val="rvts23"/>
          <w:rFonts w:ascii="Times New Roman" w:hAnsi="Times New Roman" w:cs="Calibri"/>
          <w:sz w:val="28"/>
          <w:szCs w:val="28"/>
          <w:shd w:val="clear" w:color="auto" w:fill="FFFFFF"/>
          <w:lang w:val="uk-UA"/>
        </w:rPr>
      </w:pPr>
      <w:proofErr w:type="spellStart"/>
      <w:r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621B7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0E7E7D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урегульовано </w:t>
      </w:r>
      <w:r w:rsidR="000E7E7D" w:rsidRPr="00536488">
        <w:rPr>
          <w:rFonts w:ascii="Times New Roman" w:hAnsi="Times New Roman"/>
          <w:sz w:val="28"/>
          <w:szCs w:val="28"/>
          <w:lang w:val="uk-UA" w:eastAsia="uk-UA"/>
        </w:rPr>
        <w:t xml:space="preserve">питання порядку проведення підготовчих робіт та </w:t>
      </w:r>
      <w:r w:rsidR="000E7E7D" w:rsidRPr="00536488">
        <w:rPr>
          <w:rFonts w:ascii="Times New Roman" w:hAnsi="Times New Roman"/>
          <w:bCs/>
          <w:sz w:val="28"/>
          <w:szCs w:val="28"/>
          <w:lang w:val="uk-UA"/>
        </w:rPr>
        <w:t>вирубування дерев і чагарників, пов’язаних з такими роботами, проведення рубок для наукових цілей</w:t>
      </w:r>
      <w:r w:rsidR="000E7E7D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приведено Порядок у відповідність до норм Лісового та Податкового кодексів України, а також приведено ряд нормативно-правових актів Кабінету Міністрів України у відпові</w:t>
      </w:r>
      <w:r w:rsidR="00F621B7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дність до норм Законів України </w:t>
      </w:r>
      <w:r w:rsidR="00F621B7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“</w:t>
      </w:r>
      <w:r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 w:rsidR="00F621B7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”</w:t>
      </w:r>
      <w:r w:rsidR="00F621B7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F621B7" w:rsidRPr="005364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“</w:t>
      </w:r>
      <w:r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у зв’яз</w:t>
      </w:r>
      <w:r w:rsidR="00F621B7"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ку з прийняттям Закону України </w:t>
      </w:r>
      <w:r w:rsidR="00F621B7" w:rsidRPr="005364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“</w:t>
      </w:r>
      <w:r w:rsidR="00F621B7"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адміністративну процедуру</w:t>
      </w:r>
      <w:r w:rsidR="00F621B7" w:rsidRPr="005364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””</w:t>
      </w:r>
      <w:r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Запропоновано скасувати 4 механізми регуляції господарської діяльності.</w:t>
      </w:r>
    </w:p>
    <w:p w14:paraId="53D0B260" w14:textId="15706260" w:rsidR="00455D04" w:rsidRPr="00536488" w:rsidRDefault="00455D04" w:rsidP="005C14B0">
      <w:pPr>
        <w:pStyle w:val="a4"/>
        <w:tabs>
          <w:tab w:val="clear" w:pos="4677"/>
          <w:tab w:val="center" w:pos="709"/>
        </w:tabs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14:paraId="741CDF74" w14:textId="35DFF980" w:rsidR="00666282" w:rsidRPr="00FA493E" w:rsidRDefault="00D60AA5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ІІІ.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альтернативних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способів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12B562A6" w14:textId="77777777" w:rsidR="00636323" w:rsidRPr="00FA493E" w:rsidRDefault="00636323" w:rsidP="00842103">
      <w:pPr>
        <w:pStyle w:val="ListParagraph1"/>
        <w:spacing w:after="0" w:line="240" w:lineRule="auto"/>
        <w:ind w:left="0" w:firstLine="5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6375F" w14:textId="77777777" w:rsidR="00666282" w:rsidRPr="00FA493E" w:rsidRDefault="00666282" w:rsidP="00644FF4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</w:p>
    <w:p w14:paraId="44D712C6" w14:textId="77777777" w:rsidR="00666282" w:rsidRPr="00FA493E" w:rsidRDefault="00666282" w:rsidP="0084210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904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2"/>
        <w:gridCol w:w="7085"/>
      </w:tblGrid>
      <w:tr w:rsidR="00666282" w:rsidRPr="00FA493E" w14:paraId="2214AB30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9F818EA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DE07A77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  <w:p w14:paraId="77C6D635" w14:textId="77777777" w:rsidR="00666282" w:rsidRPr="00FA493E" w:rsidRDefault="00666282" w:rsidP="0058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282" w:rsidRPr="00FA493E" w14:paraId="73B84C97" w14:textId="77777777" w:rsidTr="000E1BCF">
        <w:trPr>
          <w:trHeight w:val="703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DF814B3" w14:textId="77777777" w:rsidR="00666282" w:rsidRPr="00FA493E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013EDCB7" w14:textId="77777777" w:rsidR="00666282" w:rsidRPr="00FA493E" w:rsidRDefault="00D5234E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з</w:t>
            </w:r>
            <w:proofErr w:type="spellStart"/>
            <w:r w:rsidR="000325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>береження</w:t>
            </w:r>
            <w:proofErr w:type="spellEnd"/>
            <w:r w:rsidR="000325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eastAsia="ru-RU"/>
              </w:rPr>
              <w:t xml:space="preserve"> status quo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3A6091B" w14:textId="2E8E657E" w:rsidR="00666282" w:rsidRPr="00FA493E" w:rsidRDefault="00582B98" w:rsidP="003F0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льтернатива</w:t>
            </w:r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неприйнятн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 w:rsidR="000E1BC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="0003256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546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положенню</w:t>
            </w:r>
            <w:proofErr w:type="spellEnd"/>
            <w:r w:rsidR="00D8546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8546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546F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статтею</w:t>
            </w:r>
            <w:proofErr w:type="spellEnd"/>
            <w:r w:rsidR="00CC21F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C37604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</w:t>
            </w:r>
            <w:r w:rsidR="00CC21F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</w:t>
            </w:r>
            <w:r w:rsidR="00CC21F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76D3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323F5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256 </w:t>
            </w:r>
            <w:proofErr w:type="spellStart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Податкового</w:t>
            </w:r>
            <w:proofErr w:type="spellEnd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кодексу </w:t>
            </w:r>
            <w:proofErr w:type="spellStart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</w:tr>
      <w:tr w:rsidR="00666282" w:rsidRPr="00536488" w14:paraId="1DD101CA" w14:textId="77777777" w:rsidTr="000E1BCF"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05F24DC" w14:textId="77777777" w:rsidR="00666282" w:rsidRPr="00FA493E" w:rsidRDefault="00666282" w:rsidP="000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14:paraId="5D15C3E4" w14:textId="592BAB48" w:rsidR="00666282" w:rsidRPr="00FA493E" w:rsidRDefault="00D5234E" w:rsidP="00A2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рийняття</w:t>
            </w:r>
            <w:proofErr w:type="spellEnd"/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7A1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08F5F8" w14:textId="522274D3" w:rsidR="003A6A14" w:rsidRPr="00FA493E" w:rsidRDefault="00E53544" w:rsidP="005B21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/>
              </w:rPr>
              <w:t>Обраний</w:t>
            </w:r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proofErr w:type="spellStart"/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>спосіб</w:t>
            </w:r>
            <w:proofErr w:type="spellEnd"/>
            <w:r w:rsidR="00335D5B" w:rsidRPr="00FA493E">
              <w:rPr>
                <w:rFonts w:ascii="Times New Roman" w:hAnsi="Times New Roman" w:cs="Times New Roman"/>
                <w:color w:val="211F1F"/>
                <w:sz w:val="24"/>
                <w:szCs w:val="24"/>
              </w:rPr>
              <w:t xml:space="preserve"> </w:t>
            </w:r>
            <w:r w:rsidR="003A6A14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встановлює </w:t>
            </w:r>
            <w:proofErr w:type="spellStart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proofErr w:type="spellEnd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3F0440" w:rsidRPr="0053648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вирубування</w:t>
            </w:r>
            <w:proofErr w:type="spellEnd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 і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чагарників</w:t>
            </w:r>
            <w:proofErr w:type="spellEnd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пов’язаних</w:t>
            </w:r>
            <w:proofErr w:type="spellEnd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такими роботами,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  <w:proofErr w:type="spellEnd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рубок для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наукових</w:t>
            </w:r>
            <w:proofErr w:type="spellEnd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F0440" w:rsidRPr="00536488">
              <w:rPr>
                <w:rFonts w:ascii="Times New Roman" w:hAnsi="Times New Roman" w:cs="Times New Roman"/>
                <w:bCs/>
                <w:sz w:val="24"/>
                <w:szCs w:val="24"/>
              </w:rPr>
              <w:t>цілей</w:t>
            </w:r>
            <w:proofErr w:type="spellEnd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приведенння</w:t>
            </w:r>
            <w:proofErr w:type="spellEnd"/>
            <w:r w:rsidR="003F044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Порядку у відповідність до норм Лісового та Податкового кодексів України</w:t>
            </w:r>
          </w:p>
        </w:tc>
      </w:tr>
    </w:tbl>
    <w:p w14:paraId="5E031976" w14:textId="52507F50" w:rsidR="00753C54" w:rsidRPr="00FA493E" w:rsidRDefault="00753C54" w:rsidP="00177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59801E" w14:textId="13709640" w:rsidR="00666282" w:rsidRPr="00FA493E" w:rsidRDefault="00753C54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вибраних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282" w:rsidRPr="00FA493E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</w:p>
    <w:p w14:paraId="7194E3D3" w14:textId="77777777" w:rsidR="00D049E6" w:rsidRPr="00536488" w:rsidRDefault="00D049E6" w:rsidP="00D04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F50930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</w:p>
    <w:p w14:paraId="0E6E7A3D" w14:textId="77777777" w:rsidR="00F774EE" w:rsidRPr="00FA493E" w:rsidRDefault="00F774EE" w:rsidP="00F7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849" w:type="pct"/>
        <w:tblInd w:w="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2778"/>
        <w:gridCol w:w="4478"/>
      </w:tblGrid>
      <w:tr w:rsidR="00666282" w:rsidRPr="00FA493E" w14:paraId="2233D881" w14:textId="77777777" w:rsidTr="00242891">
        <w:trPr>
          <w:trHeight w:val="268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F543D1E" w14:textId="77777777" w:rsidR="00666282" w:rsidRPr="00FA493E" w:rsidRDefault="00666282" w:rsidP="00582DB3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8244" w14:textId="77777777" w:rsidR="00666282" w:rsidRPr="00FA493E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0C7206D" w14:textId="77777777" w:rsidR="00666282" w:rsidRPr="00FA493E" w:rsidRDefault="00666282" w:rsidP="005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536488" w14:paraId="2D1C84C9" w14:textId="77777777" w:rsidTr="00242891">
        <w:trPr>
          <w:trHeight w:val="59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059DB6" w14:textId="5F849954" w:rsidR="00666282" w:rsidRPr="00FA493E" w:rsidRDefault="00666282" w:rsidP="00D5234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1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ситуації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896" w14:textId="77777777" w:rsidR="00666282" w:rsidRPr="00FA493E" w:rsidRDefault="00473DDC" w:rsidP="002E7936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Відсутні</w:t>
            </w:r>
            <w:proofErr w:type="spellEnd"/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3A1B153" w14:textId="0FA866F2" w:rsidR="00666282" w:rsidRPr="00FA493E" w:rsidRDefault="00A25B12" w:rsidP="001D6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B121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еможливість </w:t>
            </w:r>
            <w:r w:rsidR="00342C19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якісно </w:t>
            </w:r>
            <w:r w:rsidR="00BB1210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використання лісових ресурсів </w:t>
            </w:r>
            <w:r w:rsidR="001D60D2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нормативно-правових актів</w:t>
            </w:r>
          </w:p>
        </w:tc>
      </w:tr>
      <w:tr w:rsidR="00666282" w:rsidRPr="00644FF4" w14:paraId="597F5766" w14:textId="77777777" w:rsidTr="00242891">
        <w:trPr>
          <w:trHeight w:val="563"/>
        </w:trPr>
        <w:tc>
          <w:tcPr>
            <w:tcW w:w="1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A1EDF5F" w14:textId="761482C5" w:rsidR="00666282" w:rsidRPr="00FA493E" w:rsidRDefault="00666282" w:rsidP="00A25B12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 2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5234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1CDF" w14:textId="6B46983E" w:rsidR="00666282" w:rsidRPr="00FA493E" w:rsidRDefault="0034619F" w:rsidP="001D60D2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0D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чіткого</w:t>
            </w:r>
            <w:proofErr w:type="spellEnd"/>
            <w:r w:rsidR="001D60D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="00751D5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5B1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="00644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Забезпечить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дерегулювання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механізмів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регуляції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9C7D4A" w14:textId="7082AFB5" w:rsidR="00666282" w:rsidRPr="00FA493E" w:rsidRDefault="00342C19" w:rsidP="00676DCE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24B1B59D" w14:textId="77777777" w:rsidR="00F22E5A" w:rsidRPr="00FA493E" w:rsidRDefault="00F22E5A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</w:p>
    <w:p w14:paraId="538FC184" w14:textId="03BA7F49" w:rsidR="00D049E6" w:rsidRPr="00FA493E" w:rsidRDefault="00D049E6" w:rsidP="00E5354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Оцінка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впливу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="00E53544" w:rsidRPr="00FA493E">
        <w:rPr>
          <w:rFonts w:ascii="Times New Roman" w:hAnsi="Times New Roman" w:cs="Times New Roman"/>
          <w:color w:val="211F1F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CFFCDED" w14:textId="77777777" w:rsidR="00D049E6" w:rsidRPr="00FA493E" w:rsidRDefault="00D049E6" w:rsidP="00D049E6">
      <w:pPr>
        <w:shd w:val="clear" w:color="auto" w:fill="FFFFFF"/>
        <w:spacing w:before="31" w:after="0" w:line="240" w:lineRule="auto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4821"/>
        <w:gridCol w:w="2692"/>
      </w:tblGrid>
      <w:tr w:rsidR="00025C50" w:rsidRPr="00644FF4" w14:paraId="64ACB01D" w14:textId="77777777" w:rsidTr="00D063AE">
        <w:tc>
          <w:tcPr>
            <w:tcW w:w="1107" w:type="pct"/>
            <w:shd w:val="clear" w:color="auto" w:fill="FFFFFF"/>
            <w:hideMark/>
          </w:tcPr>
          <w:p w14:paraId="0C8BE94C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альтернативи</w:t>
            </w:r>
            <w:proofErr w:type="spellEnd"/>
          </w:p>
        </w:tc>
        <w:tc>
          <w:tcPr>
            <w:tcW w:w="2498" w:type="pct"/>
            <w:shd w:val="clear" w:color="auto" w:fill="FFFFFF"/>
            <w:hideMark/>
          </w:tcPr>
          <w:p w14:paraId="6E81C72C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Вигоди</w:t>
            </w:r>
            <w:proofErr w:type="spellEnd"/>
          </w:p>
        </w:tc>
        <w:tc>
          <w:tcPr>
            <w:tcW w:w="1395" w:type="pct"/>
            <w:shd w:val="clear" w:color="auto" w:fill="FFFFFF"/>
            <w:hideMark/>
          </w:tcPr>
          <w:p w14:paraId="03C2D687" w14:textId="77777777" w:rsidR="00025C50" w:rsidRPr="00644FF4" w:rsidRDefault="00025C50" w:rsidP="00CA501B">
            <w:pPr>
              <w:spacing w:before="31" w:after="0" w:line="240" w:lineRule="auto"/>
              <w:ind w:firstLine="365"/>
              <w:jc w:val="center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</w:tr>
      <w:tr w:rsidR="00CA501B" w:rsidRPr="00536488" w14:paraId="7A7BE3A4" w14:textId="77777777" w:rsidTr="00D063AE">
        <w:trPr>
          <w:trHeight w:val="525"/>
        </w:trPr>
        <w:tc>
          <w:tcPr>
            <w:tcW w:w="1107" w:type="pct"/>
            <w:shd w:val="clear" w:color="auto" w:fill="FFFFFF"/>
            <w:hideMark/>
          </w:tcPr>
          <w:p w14:paraId="4FED35C8" w14:textId="77777777" w:rsidR="00CA501B" w:rsidRPr="00FA493E" w:rsidRDefault="00CA501B" w:rsidP="009657FB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pct"/>
            <w:shd w:val="clear" w:color="auto" w:fill="FFFFFF"/>
            <w:hideMark/>
          </w:tcPr>
          <w:p w14:paraId="5A350D0D" w14:textId="5D8BC051" w:rsidR="00CA501B" w:rsidRPr="00FA493E" w:rsidRDefault="003311D3" w:rsidP="009657FB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Відсутні</w:t>
            </w:r>
            <w:proofErr w:type="spellEnd"/>
            <w:r w:rsidR="0072362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pct"/>
            <w:shd w:val="clear" w:color="auto" w:fill="FFFFFF"/>
            <w:hideMark/>
          </w:tcPr>
          <w:p w14:paraId="53FF0BFE" w14:textId="4D7B826E" w:rsidR="00CA501B" w:rsidRPr="00FA493E" w:rsidRDefault="00A559F2" w:rsidP="00A559F2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Правова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неврегульованість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різних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рубок,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здійснюють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установи та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різного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підпорядкування</w:t>
            </w:r>
            <w:proofErr w:type="spellEnd"/>
            <w:r w:rsidR="00D063A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до негативного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сприйняття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громадскістю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самого принципу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як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наслідок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виникають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суспільні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спричиняє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погіршення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екологічної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екосистемах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в </w:t>
            </w:r>
            <w:proofErr w:type="spellStart"/>
            <w:r w:rsidR="003311D3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країні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</w:t>
            </w:r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цілому</w:t>
            </w:r>
            <w:proofErr w:type="spellEnd"/>
          </w:p>
        </w:tc>
      </w:tr>
      <w:tr w:rsidR="00CA501B" w:rsidRPr="00FA493E" w14:paraId="5C63B6C6" w14:textId="77777777" w:rsidTr="00D063AE">
        <w:trPr>
          <w:trHeight w:val="1021"/>
        </w:trPr>
        <w:tc>
          <w:tcPr>
            <w:tcW w:w="1107" w:type="pct"/>
            <w:shd w:val="clear" w:color="auto" w:fill="FFFFFF"/>
            <w:hideMark/>
          </w:tcPr>
          <w:p w14:paraId="7DD8F8A5" w14:textId="15018FCB" w:rsidR="00CA501B" w:rsidRPr="00FA493E" w:rsidRDefault="00CA501B" w:rsidP="00191EBC">
            <w:pPr>
              <w:spacing w:after="0" w:line="240" w:lineRule="auto"/>
              <w:ind w:left="154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191EBC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191EBC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2498" w:type="pct"/>
            <w:shd w:val="clear" w:color="auto" w:fill="FFFFFF"/>
          </w:tcPr>
          <w:p w14:paraId="07C7CBB4" w14:textId="3B6053E2" w:rsidR="00CA501B" w:rsidRPr="00FA493E" w:rsidRDefault="0072362A" w:rsidP="00536488">
            <w:pPr>
              <w:spacing w:before="31" w:after="0" w:line="240" w:lineRule="auto"/>
              <w:ind w:left="142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про</w:t>
            </w:r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кту </w:t>
            </w:r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акта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матиме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позитивний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="00191EBC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7F7F8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–</w:t>
            </w:r>
            <w:r w:rsidR="005473CF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чітке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унормування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Порядку з </w:t>
            </w:r>
            <w:proofErr w:type="spellStart"/>
            <w:r w:rsid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положеннями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кодексів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,</w:t>
            </w:r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рубок</w:t>
            </w:r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(в тому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)</w:t>
            </w:r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всій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виключення</w:t>
            </w:r>
            <w:proofErr w:type="spellEnd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0E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лісокористувачами</w:t>
            </w:r>
            <w:proofErr w:type="spellEnd"/>
            <w:r w:rsidR="005C1761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єдиними</w:t>
            </w:r>
            <w:proofErr w:type="spellEnd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правилами та </w:t>
            </w:r>
            <w:proofErr w:type="spellStart"/>
            <w:r w:rsidR="00167C4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вимогами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Забезпечить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дерегулювання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механізмів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регуляції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95" w:type="pct"/>
            <w:shd w:val="clear" w:color="auto" w:fill="FFFFFF"/>
          </w:tcPr>
          <w:p w14:paraId="16DE7250" w14:textId="77777777" w:rsidR="007F7F8D" w:rsidRPr="00FA493E" w:rsidRDefault="00CF6471" w:rsidP="00191EBC">
            <w:pPr>
              <w:spacing w:after="0" w:line="240" w:lineRule="auto"/>
              <w:ind w:left="141" w:right="-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7F8D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  <w:proofErr w:type="spellEnd"/>
            <w:r w:rsidR="007F7F8D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D42A32" w14:textId="77777777" w:rsidR="00CA501B" w:rsidRPr="00FA493E" w:rsidRDefault="00CA501B" w:rsidP="009657FB">
            <w:pPr>
              <w:spacing w:after="0" w:line="240" w:lineRule="auto"/>
              <w:ind w:right="68" w:firstLine="365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</w:p>
        </w:tc>
      </w:tr>
    </w:tbl>
    <w:p w14:paraId="7867B872" w14:textId="77777777" w:rsidR="00666282" w:rsidRPr="00FA493E" w:rsidRDefault="00666282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1BEA8B" w14:textId="77777777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на сферу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</w:p>
    <w:p w14:paraId="5001BD86" w14:textId="77777777" w:rsidR="006D1C0C" w:rsidRPr="00FA493E" w:rsidRDefault="006D1C0C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23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3"/>
        <w:gridCol w:w="1132"/>
        <w:gridCol w:w="1235"/>
        <w:gridCol w:w="1345"/>
        <w:gridCol w:w="1259"/>
        <w:gridCol w:w="880"/>
      </w:tblGrid>
      <w:tr w:rsidR="00666282" w:rsidRPr="00FA493E" w14:paraId="05323881" w14:textId="77777777" w:rsidTr="007F7F8D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DD08E26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4EA4B27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B52010A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Середні</w:t>
            </w:r>
            <w:proofErr w:type="spellEnd"/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3FECFCB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176A5EB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0FC7F5ED" w14:textId="77777777" w:rsidR="00666282" w:rsidRPr="00FA493E" w:rsidRDefault="00666282" w:rsidP="00B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</w:tr>
      <w:tr w:rsidR="00666282" w:rsidRPr="00FA493E" w14:paraId="4FF4818A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AE513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="005473CF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(власники лісів, постійні лісокористувачі)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підпадають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дію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46E1567" w14:textId="634663F9" w:rsidR="00666282" w:rsidRPr="00536488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E37DE45" w14:textId="4F7E1EDE" w:rsidR="00666282" w:rsidRPr="00FA493E" w:rsidRDefault="003320D3" w:rsidP="00536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36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056CC58" w14:textId="77777777" w:rsidR="00666282" w:rsidRPr="00FA493E" w:rsidRDefault="00012B26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CEA0631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08FC3E73" w14:textId="298DA923" w:rsidR="00666282" w:rsidRPr="00FA493E" w:rsidRDefault="003320D3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</w:tr>
      <w:tr w:rsidR="00666282" w:rsidRPr="00FA493E" w14:paraId="02A4C9C7" w14:textId="77777777" w:rsidTr="009657FB">
        <w:tc>
          <w:tcPr>
            <w:tcW w:w="1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21A7B1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Питома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загальній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7CF06FF9" w14:textId="66212557" w:rsidR="00666282" w:rsidRPr="00536488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F04AF33" w14:textId="1EBA45BE" w:rsidR="00666282" w:rsidRPr="00FA493E" w:rsidRDefault="00536488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99,8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1C20839" w14:textId="77777777" w:rsidR="00666282" w:rsidRPr="00FA493E" w:rsidRDefault="00547C4D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6BC26498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B9A1F05" w14:textId="77777777" w:rsidR="00666282" w:rsidRPr="00FA493E" w:rsidRDefault="00666282" w:rsidP="0096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3D2273A" w14:textId="2247EFA9" w:rsidR="006D1C0C" w:rsidRPr="00644FF4" w:rsidRDefault="006D1C0C" w:rsidP="00842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666282" w:rsidRPr="00FA493E" w14:paraId="5299EF6B" w14:textId="77777777" w:rsidTr="00F651C2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037BB3A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423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E3DC420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666282" w:rsidRPr="00536488" w14:paraId="1EE9F8B6" w14:textId="77777777" w:rsidTr="00374303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682B602" w14:textId="77777777" w:rsidR="00666282" w:rsidRPr="00FA493E" w:rsidRDefault="00707440" w:rsidP="009C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82"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5846" w14:textId="1254783E" w:rsidR="00666282" w:rsidRPr="00FA493E" w:rsidRDefault="007B5806" w:rsidP="00374303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C803E7C" w14:textId="29B06F51" w:rsidR="00666282" w:rsidRPr="00FA493E" w:rsidRDefault="00883E22" w:rsidP="000A2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</w:t>
            </w:r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(в тому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)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лісах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різними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правилами, </w:t>
            </w:r>
            <w:proofErr w:type="spellStart"/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унормовано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вимогами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="007B5806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A5F0F" w:rsidRPr="00FA493E" w14:paraId="4D769341" w14:textId="77777777" w:rsidTr="00374303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10F7138B" w14:textId="72D2D178" w:rsidR="004A5F0F" w:rsidRPr="00FA493E" w:rsidRDefault="004A5F0F" w:rsidP="004A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676DC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676DCE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71B58287" w14:textId="77777777" w:rsidR="004A5F0F" w:rsidRPr="00FA493E" w:rsidRDefault="004A5F0F" w:rsidP="0084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CDC1" w14:textId="77777777" w:rsidR="004A5F0F" w:rsidRDefault="00676DCE" w:rsidP="00883E22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,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приведення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норм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європейської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спільноти</w:t>
            </w:r>
            <w:proofErr w:type="spellEnd"/>
            <w:r w:rsidR="00AF53BD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883E22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встановлених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обов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="00644FF4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.</w:t>
            </w:r>
          </w:p>
          <w:p w14:paraId="5B5D5660" w14:textId="7206E0F5" w:rsidR="00644FF4" w:rsidRPr="00FA493E" w:rsidRDefault="00644FF4" w:rsidP="00883E22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Забезпечить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дерегулювання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регуляції</w:t>
            </w:r>
            <w:proofErr w:type="spellEnd"/>
            <w:r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6C778EB" w14:textId="04B3EE9F" w:rsidR="004A5F0F" w:rsidRPr="00FA493E" w:rsidRDefault="00374303" w:rsidP="0037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5C1F2D51" w14:textId="0AE056D9" w:rsidR="0045031B" w:rsidRPr="00FA493E" w:rsidRDefault="0045031B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B706E97" w14:textId="23635CB2" w:rsidR="00374303" w:rsidRDefault="00374303" w:rsidP="00644F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A493E">
        <w:rPr>
          <w:rFonts w:ascii="Times New Roman" w:hAnsi="Times New Roman" w:cs="Times New Roman"/>
          <w:sz w:val="28"/>
          <w:szCs w:val="28"/>
          <w:lang w:val="uk-UA" w:eastAsia="uk-UA"/>
        </w:rPr>
        <w:t>Оцінка впливу на довкілля</w:t>
      </w:r>
    </w:p>
    <w:p w14:paraId="35E7E6BE" w14:textId="77777777" w:rsidR="000A2616" w:rsidRPr="00FA493E" w:rsidRDefault="000A2616" w:rsidP="004503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17" w:type="pct"/>
        <w:tblInd w:w="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7"/>
        <w:gridCol w:w="4206"/>
        <w:gridCol w:w="3359"/>
      </w:tblGrid>
      <w:tr w:rsidR="000B0B95" w:rsidRPr="00FA493E" w14:paraId="1B6DF672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47D1B685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F67D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7240202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Витрати</w:t>
            </w:r>
            <w:proofErr w:type="spellEnd"/>
          </w:p>
        </w:tc>
      </w:tr>
      <w:tr w:rsidR="000B0B95" w:rsidRPr="00536488" w14:paraId="3C78A3D3" w14:textId="77777777" w:rsidTr="00465B80"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4944695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4B3CC" w14:textId="77777777" w:rsidR="000B0B95" w:rsidRPr="00FA493E" w:rsidRDefault="000B0B95" w:rsidP="00465B80">
            <w:pPr>
              <w:spacing w:after="0" w:line="240" w:lineRule="auto"/>
              <w:ind w:right="102"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5D5261A3" w14:textId="2EFDD1B2" w:rsidR="000B0B95" w:rsidRPr="00536488" w:rsidRDefault="00540AC4" w:rsidP="00AF53BD">
            <w:pPr>
              <w:spacing w:after="0" w:line="240" w:lineRule="auto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Не</w:t>
            </w:r>
            <w:r w:rsidR="000B0B95"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проведення </w:t>
            </w:r>
            <w:r w:rsidR="00AF53BD"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наукових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рубок</w:t>
            </w:r>
            <w:r w:rsidR="00AF53BD"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, неможливість проведення якісних підготовчих робіт при заготівлі деревини, і відповідно, неможливості забезпечення безпечних умов праці під час розроблення лісосік</w:t>
            </w:r>
          </w:p>
        </w:tc>
      </w:tr>
      <w:tr w:rsidR="000B0B95" w:rsidRPr="00FA493E" w14:paraId="0111B831" w14:textId="77777777" w:rsidTr="00465B80">
        <w:trPr>
          <w:trHeight w:val="1469"/>
        </w:trPr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B31A7EC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2 –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 аката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3B03F382" w14:textId="77777777" w:rsidR="000B0B95" w:rsidRPr="00FA493E" w:rsidRDefault="000B0B95" w:rsidP="0046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95EC" w14:textId="01DBE79D" w:rsidR="000B0B95" w:rsidRPr="00FA493E" w:rsidRDefault="000B0B95" w:rsidP="00465B80">
            <w:pPr>
              <w:pStyle w:val="a9"/>
              <w:spacing w:before="31"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Раціональне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екологічного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ресурсного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потенціалу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рубок </w:t>
            </w:r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встановлених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правил,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обов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язковими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лісового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сприяють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загальному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функціонуванню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0AC4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ru-RU" w:eastAsia="ru-RU"/>
              </w:rPr>
              <w:t>економіки</w:t>
            </w:r>
            <w:proofErr w:type="spellEnd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4F015474" w14:textId="77777777" w:rsidR="000B0B95" w:rsidRPr="00FA493E" w:rsidRDefault="000B0B95" w:rsidP="0046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14:paraId="766BC2AD" w14:textId="17BF4923" w:rsidR="0045031B" w:rsidRDefault="0045031B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658C3F" w14:textId="7136DEF0" w:rsidR="00644FF4" w:rsidRDefault="00644FF4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5F939C" w14:textId="77777777" w:rsidR="00644FF4" w:rsidRPr="00FA493E" w:rsidRDefault="00644FF4" w:rsidP="00842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2EFF38" w14:textId="77777777" w:rsidR="00644FF4" w:rsidRDefault="00644FF4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F144F" w14:textId="52AE3B8A" w:rsidR="00666282" w:rsidRPr="00FA493E" w:rsidRDefault="00666282" w:rsidP="00644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b/>
          <w:bCs/>
          <w:sz w:val="28"/>
          <w:szCs w:val="28"/>
        </w:rPr>
        <w:lastRenderedPageBreak/>
        <w:t>IV</w:t>
      </w:r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Вибір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найбільш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оптимального альтернативного способу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</w:p>
    <w:p w14:paraId="46DAEE3F" w14:textId="77777777" w:rsidR="00E310A2" w:rsidRPr="00FA493E" w:rsidRDefault="00E310A2" w:rsidP="008421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F2AEAB" w14:textId="73C3609B" w:rsidR="00666282" w:rsidRPr="00FA493E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вищенаведені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мети,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цільно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="001005F0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6C6586" w:rsidRPr="00FA49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кт </w:t>
      </w:r>
      <w:r w:rsidR="006C6586" w:rsidRPr="00FA493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23B06A" w14:textId="77777777" w:rsidR="00666282" w:rsidRPr="00FA493E" w:rsidRDefault="00666282" w:rsidP="00842103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19" w:type="pct"/>
        <w:tblInd w:w="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2183"/>
        <w:gridCol w:w="2125"/>
        <w:gridCol w:w="2807"/>
        <w:gridCol w:w="2333"/>
        <w:gridCol w:w="13"/>
      </w:tblGrid>
      <w:tr w:rsidR="00666282" w:rsidRPr="00536488" w14:paraId="7938152F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38338144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Рейтинг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досягнення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цілей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вирішення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2AF2CE5E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</w:t>
            </w:r>
          </w:p>
          <w:p w14:paraId="3FE3BC9F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результа-тивності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чотири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-бальною системою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оцінки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  <w:vAlign w:val="center"/>
          </w:tcPr>
          <w:p w14:paraId="1EC7FCC0" w14:textId="77777777" w:rsidR="00666282" w:rsidRPr="00FA493E" w:rsidRDefault="00666282" w:rsidP="009D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Коментарі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присвоєння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бала</w:t>
            </w:r>
          </w:p>
        </w:tc>
      </w:tr>
      <w:tr w:rsidR="00666282" w:rsidRPr="00FA493E" w14:paraId="47876468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77919831" w14:textId="77777777" w:rsidR="00666282" w:rsidRPr="00FA493E" w:rsidRDefault="00D07419" w:rsidP="000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1 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27889433" w14:textId="77777777" w:rsidR="00666282" w:rsidRPr="00FA493E" w:rsidRDefault="00666282" w:rsidP="0084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DAA40DE" w14:textId="77777777" w:rsidR="00666282" w:rsidRPr="00FA493E" w:rsidRDefault="009D11BC" w:rsidP="001B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продовжуватимуть існувати</w:t>
            </w:r>
            <w:r w:rsidR="003A58E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310A2" w:rsidRPr="00536488" w14:paraId="4E9F33E6" w14:textId="77777777" w:rsidTr="00644FF4">
        <w:trPr>
          <w:gridBefore w:val="1"/>
          <w:gridAfter w:val="1"/>
          <w:wBefore w:w="8" w:type="pct"/>
          <w:wAfter w:w="7" w:type="pct"/>
        </w:trPr>
        <w:tc>
          <w:tcPr>
            <w:tcW w:w="1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023C8DE" w14:textId="77777777" w:rsidR="00E310A2" w:rsidRPr="00FA493E" w:rsidRDefault="00E310A2" w:rsidP="0075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Альтернатива </w:t>
            </w:r>
            <w:r w:rsidR="00751D52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67DDB361" w14:textId="4F89EC64" w:rsidR="00E310A2" w:rsidRPr="00FA493E" w:rsidRDefault="009C4060" w:rsidP="003A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14:paraId="3F377C0F" w14:textId="21B44A88" w:rsidR="00E310A2" w:rsidRPr="00FA493E" w:rsidRDefault="00001596" w:rsidP="00461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цілі </w:t>
            </w:r>
            <w:r w:rsidR="00FC79CC" w:rsidRPr="00FA4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регулювання будуть досягнуті</w:t>
            </w:r>
            <w:r w:rsidR="004617DA" w:rsidRPr="00FA49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2220D" w:rsidRPr="00536488" w14:paraId="0A676178" w14:textId="16870D29" w:rsidTr="00644FF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497" w14:textId="265FD586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60"/>
            <w:bookmarkEnd w:id="1"/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Рейтинг результативності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A76" w14:textId="342EAF81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Вигоди (підсумок)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007" w14:textId="089604EA" w:rsidR="0002220D" w:rsidRPr="00FA493E" w:rsidRDefault="0002220D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(підсумок)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544" w14:textId="5D7DA1D7" w:rsidR="0002220D" w:rsidRPr="00FA493E" w:rsidRDefault="0021701B" w:rsidP="00FC79C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883E22" w:rsidRPr="00536488" w14:paraId="3C958049" w14:textId="553B3475" w:rsidTr="00644FF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FC9" w14:textId="77777777" w:rsidR="00883E22" w:rsidRPr="00FA493E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1</w:t>
            </w:r>
          </w:p>
          <w:p w14:paraId="3B12F510" w14:textId="7CEC96F3" w:rsidR="00883E22" w:rsidRPr="00FA493E" w:rsidRDefault="00883E22" w:rsidP="00883E22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існує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30B1" w14:textId="6D036EE6" w:rsidR="00883E22" w:rsidRPr="00FA493E" w:rsidRDefault="000A2616" w:rsidP="000A2616">
            <w:pPr>
              <w:spacing w:after="0" w:line="240" w:lineRule="auto"/>
              <w:ind w:right="-168" w:firstLine="13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8D3E3" w14:textId="236D8B8F" w:rsidR="00883E22" w:rsidRPr="00FA493E" w:rsidRDefault="00422D6E" w:rsidP="000A2616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Неможливість згідно 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з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діючо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ю 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нормативно-правово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ю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баз</w:t>
            </w:r>
            <w:r w:rsidR="000A2616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ою</w:t>
            </w:r>
            <w:r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проводити </w:t>
            </w:r>
            <w:r w:rsidR="005762A0" w:rsidRPr="00536488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наукові рубки, неможливість проведення якісних підготовчих робіт при заготівлі деревини, невідповідність вимог Лісового та Податкового кодексів України нормативно-правовим актам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5C7" w14:textId="1E875167" w:rsidR="00883E22" w:rsidRPr="00FA493E" w:rsidRDefault="00883E22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Проблема продовжує існувати, що не забезпечить досягнення поставленої мети</w:t>
            </w:r>
          </w:p>
        </w:tc>
      </w:tr>
      <w:tr w:rsidR="0002220D" w:rsidRPr="00536488" w14:paraId="23B027A8" w14:textId="66DF94FF" w:rsidTr="00644FF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804" w14:textId="77777777" w:rsidR="0002220D" w:rsidRPr="00FA493E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Альтернатива 2</w:t>
            </w:r>
          </w:p>
          <w:p w14:paraId="4E673BAC" w14:textId="04288813" w:rsidR="0002220D" w:rsidRPr="00FA493E" w:rsidRDefault="0002220D" w:rsidP="00822996">
            <w:pPr>
              <w:spacing w:before="150" w:after="15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r w:rsidR="00D075D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кту </w:t>
            </w:r>
            <w:r w:rsidR="00D075DA" w:rsidRPr="00FA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FA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1670" w14:textId="12A12B09" w:rsidR="0002220D" w:rsidRPr="00FA493E" w:rsidRDefault="0002220D" w:rsidP="005762A0">
            <w:pPr>
              <w:spacing w:before="150" w:after="150" w:line="240" w:lineRule="auto"/>
              <w:ind w:left="59"/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</w:pP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Прийняття про</w:t>
            </w:r>
            <w:r w:rsidR="00D075DA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е</w:t>
            </w:r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кту </w:t>
            </w:r>
            <w:proofErr w:type="spellStart"/>
            <w:r w:rsidR="00D075DA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 матиме позитивний вплив – </w:t>
            </w:r>
            <w:r w:rsidR="00422D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унормується питання видачі електронного лісорубного квитка на проведення </w:t>
            </w:r>
            <w:r w:rsidR="005762A0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 xml:space="preserve">наукових </w:t>
            </w:r>
            <w:r w:rsidR="00422D6E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рубок</w:t>
            </w:r>
            <w:r w:rsidR="005762A0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,</w:t>
            </w:r>
            <w:r w:rsidR="005762A0" w:rsidRPr="00536488">
              <w:rPr>
                <w:lang w:val="ru-RU"/>
              </w:rPr>
              <w:t xml:space="preserve"> </w:t>
            </w:r>
            <w:r w:rsidR="005762A0" w:rsidRPr="00FA493E">
              <w:rPr>
                <w:rFonts w:ascii="Times New Roman" w:hAnsi="Times New Roman" w:cs="Times New Roman"/>
                <w:color w:val="211F1F"/>
                <w:sz w:val="24"/>
                <w:szCs w:val="24"/>
                <w:lang w:val="uk-UA" w:eastAsia="ru-RU"/>
              </w:rPr>
              <w:t>проведення якісних підготовчих робіт при заготівлі деревини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889" w14:textId="1D5B8AD6" w:rsidR="0002220D" w:rsidRPr="00FA493E" w:rsidRDefault="00422D6E" w:rsidP="00A164F9">
            <w:pPr>
              <w:spacing w:before="150" w:after="15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572" w14:textId="76B95BFB" w:rsidR="0002220D" w:rsidRPr="00FA493E" w:rsidRDefault="00422D6E" w:rsidP="00883E22">
            <w:pPr>
              <w:spacing w:before="150" w:after="15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Наявна проблема буде вирішена</w:t>
            </w:r>
            <w:r w:rsidR="0021701B" w:rsidRPr="00FA49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повністю забезпечить досягнення поставленої мети</w:t>
            </w:r>
          </w:p>
        </w:tc>
      </w:tr>
    </w:tbl>
    <w:p w14:paraId="66A22FC3" w14:textId="2A462E33" w:rsidR="00A164F9" w:rsidRDefault="00A164F9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_Hlk87272007"/>
    </w:p>
    <w:p w14:paraId="616719D7" w14:textId="2913FA4B" w:rsidR="00644FF4" w:rsidRDefault="00644FF4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75D3E0" w14:textId="77777777" w:rsidR="00644FF4" w:rsidRPr="000A2616" w:rsidRDefault="00644FF4" w:rsidP="004503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691"/>
        <w:gridCol w:w="3254"/>
      </w:tblGrid>
      <w:tr w:rsidR="0045031B" w:rsidRPr="00536488" w14:paraId="689469D6" w14:textId="77777777" w:rsidTr="00EC7BF1">
        <w:tc>
          <w:tcPr>
            <w:tcW w:w="2689" w:type="dxa"/>
            <w:vAlign w:val="center"/>
          </w:tcPr>
          <w:p w14:paraId="0B19741A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Рейтинг</w:t>
            </w:r>
          </w:p>
        </w:tc>
        <w:tc>
          <w:tcPr>
            <w:tcW w:w="3691" w:type="dxa"/>
            <w:vAlign w:val="center"/>
          </w:tcPr>
          <w:p w14:paraId="6A87B38E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4" w:type="dxa"/>
            <w:vAlign w:val="center"/>
          </w:tcPr>
          <w:p w14:paraId="73002B92" w14:textId="77777777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  <w:tr w:rsidR="0045031B" w:rsidRPr="00FA493E" w14:paraId="15B81161" w14:textId="77777777" w:rsidTr="00EC7BF1">
        <w:tc>
          <w:tcPr>
            <w:tcW w:w="2689" w:type="dxa"/>
          </w:tcPr>
          <w:p w14:paraId="20AD22DE" w14:textId="77777777" w:rsidR="0045031B" w:rsidRPr="00FA493E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1</w:t>
            </w:r>
          </w:p>
          <w:p w14:paraId="2D1F563F" w14:textId="77777777" w:rsidR="0045031B" w:rsidRPr="00FA493E" w:rsidRDefault="0045031B" w:rsidP="00450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Збереження ситуації, яка існує</w:t>
            </w:r>
            <w:r w:rsidRPr="00FA49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 цей час</w:t>
            </w:r>
          </w:p>
        </w:tc>
        <w:tc>
          <w:tcPr>
            <w:tcW w:w="3691" w:type="dxa"/>
          </w:tcPr>
          <w:p w14:paraId="263C8030" w14:textId="678AD844" w:rsidR="0045031B" w:rsidRPr="00FA493E" w:rsidRDefault="0045031B" w:rsidP="000918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Проблема продовжує існувати</w:t>
            </w:r>
          </w:p>
        </w:tc>
        <w:tc>
          <w:tcPr>
            <w:tcW w:w="3254" w:type="dxa"/>
          </w:tcPr>
          <w:p w14:paraId="7A0E67FB" w14:textId="342744FE" w:rsidR="0045031B" w:rsidRPr="00FA493E" w:rsidRDefault="0045031B" w:rsidP="004503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5031B" w:rsidRPr="00FA493E" w14:paraId="6BBEA0CC" w14:textId="77777777" w:rsidTr="00EC7BF1">
        <w:tc>
          <w:tcPr>
            <w:tcW w:w="2689" w:type="dxa"/>
          </w:tcPr>
          <w:p w14:paraId="517F8031" w14:textId="77777777" w:rsidR="0045031B" w:rsidRPr="00FA493E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Альтернатива 2</w:t>
            </w:r>
          </w:p>
          <w:p w14:paraId="2365BC5B" w14:textId="67BC4965" w:rsidR="0045031B" w:rsidRPr="00FA493E" w:rsidRDefault="0045031B" w:rsidP="00EC2F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Прийняття </w:t>
            </w:r>
            <w:proofErr w:type="spellStart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прийняття</w:t>
            </w:r>
            <w:proofErr w:type="spellEnd"/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про</w:t>
            </w:r>
            <w:r w:rsidR="00EC2F38"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е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кту </w:t>
            </w:r>
            <w:r w:rsidR="00EC2F38" w:rsidRPr="00FA493E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акта</w:t>
            </w: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91" w:type="dxa"/>
          </w:tcPr>
          <w:p w14:paraId="10F7BFC2" w14:textId="3F0A9FDF" w:rsidR="0045031B" w:rsidRPr="00FA493E" w:rsidRDefault="0045031B" w:rsidP="00091870">
            <w:pPr>
              <w:tabs>
                <w:tab w:val="left" w:pos="65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Повністю забезпечить вирішення проблеми</w:t>
            </w:r>
          </w:p>
        </w:tc>
        <w:tc>
          <w:tcPr>
            <w:tcW w:w="3254" w:type="dxa"/>
          </w:tcPr>
          <w:p w14:paraId="0B844102" w14:textId="5249DCFF" w:rsidR="0045031B" w:rsidRPr="00FA493E" w:rsidRDefault="0045031B" w:rsidP="004503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A493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Відсутній</w:t>
            </w:r>
          </w:p>
        </w:tc>
      </w:tr>
      <w:bookmarkEnd w:id="2"/>
    </w:tbl>
    <w:p w14:paraId="27C27491" w14:textId="77777777" w:rsidR="0045031B" w:rsidRPr="000A2616" w:rsidRDefault="0045031B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53291EA7" w14:textId="67A872FC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uk-UA" w:eastAsia="ru-RU"/>
        </w:rPr>
        <w:t>. Механізми та заходи, які забезпечать розв’язання визначеної проблеми</w:t>
      </w:r>
    </w:p>
    <w:p w14:paraId="6B89DD95" w14:textId="77777777" w:rsidR="00011B6E" w:rsidRPr="000A2616" w:rsidRDefault="00011B6E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</w:p>
    <w:p w14:paraId="321C8BBF" w14:textId="2E143389" w:rsidR="005762A0" w:rsidRPr="00FA493E" w:rsidRDefault="001F162D" w:rsidP="005762A0">
      <w:pPr>
        <w:tabs>
          <w:tab w:val="left" w:pos="567"/>
        </w:tabs>
        <w:spacing w:after="0" w:line="240" w:lineRule="auto"/>
        <w:ind w:firstLine="709"/>
        <w:jc w:val="both"/>
        <w:rPr>
          <w:rStyle w:val="rvts23"/>
          <w:rFonts w:ascii="Times New Roman" w:hAnsi="Times New Roman" w:cs="Calibri"/>
          <w:sz w:val="28"/>
          <w:szCs w:val="28"/>
          <w:shd w:val="clear" w:color="auto" w:fill="FFFFFF"/>
          <w:lang w:val="uk-UA"/>
        </w:rPr>
      </w:pPr>
      <w:bookmarkStart w:id="3" w:name="n162"/>
      <w:bookmarkStart w:id="4" w:name="n166"/>
      <w:bookmarkEnd w:id="3"/>
      <w:bookmarkEnd w:id="4"/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Затвердження нормативно-правового акту дозволить </w:t>
      </w:r>
      <w:r w:rsidR="005762A0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урегулювати </w:t>
      </w:r>
      <w:proofErr w:type="spellStart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>питання</w:t>
      </w:r>
      <w:proofErr w:type="spellEnd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>проведення</w:t>
      </w:r>
      <w:proofErr w:type="spellEnd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>підготовчих</w:t>
      </w:r>
      <w:proofErr w:type="spellEnd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>робіт</w:t>
      </w:r>
      <w:proofErr w:type="spellEnd"/>
      <w:r w:rsidR="005762A0" w:rsidRPr="00536488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вирубування</w:t>
      </w:r>
      <w:proofErr w:type="spellEnd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 xml:space="preserve"> дерев і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чагарників</w:t>
      </w:r>
      <w:proofErr w:type="spellEnd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пов’язаних</w:t>
      </w:r>
      <w:proofErr w:type="spellEnd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 xml:space="preserve"> з такими роботами,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проведення</w:t>
      </w:r>
      <w:proofErr w:type="spellEnd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 xml:space="preserve"> рубок для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наукових</w:t>
      </w:r>
      <w:proofErr w:type="spellEnd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5762A0" w:rsidRPr="00536488">
        <w:rPr>
          <w:rFonts w:ascii="Times New Roman" w:hAnsi="Times New Roman"/>
          <w:bCs/>
          <w:sz w:val="28"/>
          <w:szCs w:val="28"/>
          <w:lang w:val="ru-RU"/>
        </w:rPr>
        <w:t>цілей</w:t>
      </w:r>
      <w:proofErr w:type="spellEnd"/>
      <w:r w:rsidR="005762A0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привести Порядок у відповідність до норм Лісового та Податкового кодексів України, а також привести ряд нормативно-правових актів Кабінету Міністрів України у відповідність до норм Законів України </w:t>
      </w:r>
      <w:r w:rsidR="005762A0" w:rsidRPr="005364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“</w:t>
      </w:r>
      <w:r w:rsidR="005762A0"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 w:rsidR="005762A0" w:rsidRPr="005364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”</w:t>
      </w:r>
      <w:r w:rsidR="005762A0" w:rsidRPr="00FA4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5762A0" w:rsidRPr="005364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“</w:t>
      </w:r>
      <w:r w:rsidR="005762A0"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у зв’язку з прийняттям Закону України </w:t>
      </w:r>
      <w:r w:rsidR="005762A0" w:rsidRPr="0053648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“</w:t>
      </w:r>
      <w:r w:rsidR="005762A0" w:rsidRPr="00FA493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адміністративну </w:t>
      </w:r>
      <w:r w:rsidR="005762A0" w:rsidRPr="00644FF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процедуру</w:t>
      </w:r>
      <w:r w:rsidR="005762A0" w:rsidRPr="00644FF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””</w:t>
      </w:r>
      <w:r w:rsidR="005762A0" w:rsidRPr="00644F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Дозволить скасувати 4 механізми регуляції господарської діяльності.</w:t>
      </w:r>
    </w:p>
    <w:p w14:paraId="4E44C96B" w14:textId="214012C3" w:rsidR="00C00642" w:rsidRPr="00FA493E" w:rsidRDefault="001F162D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Проект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акта</w:t>
      </w:r>
      <w:proofErr w:type="spellEnd"/>
      <w:r w:rsidR="00636830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r w:rsidR="00C0064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оприлюднен</w:t>
      </w:r>
      <w:r w:rsidR="00636830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ий</w:t>
      </w:r>
      <w:r w:rsidR="00751D5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на </w:t>
      </w:r>
      <w:r w:rsidR="00C0064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офіційному веб-сайті</w:t>
      </w:r>
      <w:r w:rsidR="00E21F75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</w:t>
      </w:r>
      <w:proofErr w:type="spellStart"/>
      <w:r w:rsidR="00E21F75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Держлісагентства</w:t>
      </w:r>
      <w:proofErr w:type="spellEnd"/>
      <w:r w:rsidR="00751D52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.</w:t>
      </w:r>
    </w:p>
    <w:p w14:paraId="3FEFEA55" w14:textId="77777777" w:rsidR="00BC1119" w:rsidRPr="00FA493E" w:rsidRDefault="007730A0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Для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органам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потрібно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бюджету.</w:t>
      </w:r>
    </w:p>
    <w:p w14:paraId="71FD9E43" w14:textId="398A3733" w:rsidR="007730A0" w:rsidRPr="00FA493E" w:rsidRDefault="00232437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ричини,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могли би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заважати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впровадженню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9C489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9C489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відсутні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29AD52F2" w14:textId="77777777" w:rsidR="00005F61" w:rsidRPr="00FA493E" w:rsidRDefault="001B551A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Заподіяння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шкоди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</w:t>
      </w:r>
      <w:r w:rsidR="00011B6E" w:rsidRPr="00FA49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єктам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громадянам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акта </w:t>
      </w:r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не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а тому характеристика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механізму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повної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або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часткової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її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компенсації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визначалась</w:t>
      </w:r>
      <w:proofErr w:type="spellEnd"/>
      <w:r w:rsidR="007730A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7953E940" w14:textId="6FCF3083" w:rsidR="00863449" w:rsidRPr="00FA493E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Суб’єктам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господарювання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необхідно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ознайомитися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із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регуляторним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актом,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затвердити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необхідні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внутрішні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документи</w:t>
      </w:r>
      <w:proofErr w:type="spellEnd"/>
      <w:r w:rsidR="008E0C6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дотримуватись</w:t>
      </w:r>
      <w:proofErr w:type="spellEnd"/>
      <w:r w:rsidR="00C03F6A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3C7B5F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  <w:r w:rsidR="006F34F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</w:p>
    <w:p w14:paraId="56CD2B29" w14:textId="77777777" w:rsidR="000C0ECC" w:rsidRPr="000A2616" w:rsidRDefault="000C0E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23282633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Оцінка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залежно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ресурсів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якими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розпоряджаються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виконавчої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влади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чи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органи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місцевого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фізичні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юридичні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особи,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повинні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проваджувати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або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виконувати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ці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вимоги</w:t>
      </w:r>
      <w:proofErr w:type="spellEnd"/>
    </w:p>
    <w:p w14:paraId="564E465F" w14:textId="77777777" w:rsidR="00CB2DCC" w:rsidRPr="000A2616" w:rsidRDefault="00CB2DCC" w:rsidP="007730A0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0F59F87A" w14:textId="29C414EB" w:rsidR="008C3EBB" w:rsidRPr="000A2616" w:rsidRDefault="00E27382" w:rsidP="008C3EBB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Здійснення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8204E8"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фінансових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 державного бюджету та місцевих бюдже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т</w:t>
      </w:r>
      <w:r w:rsidR="008204E8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ів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вимог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867870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є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кту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для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виконавчої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влади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органів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місцевого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самоврядування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фізичних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та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юридичних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осіб</w:t>
      </w:r>
      <w:proofErr w:type="spellEnd"/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</w:t>
      </w:r>
      <w:r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передбачається</w:t>
      </w:r>
      <w:proofErr w:type="spellEnd"/>
      <w:r w:rsidR="008C3EBB" w:rsidRP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41D0D16D" w14:textId="24B1E0E1" w:rsidR="00E27382" w:rsidRPr="00FA493E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F961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</w:t>
      </w:r>
      <w:r w:rsidR="00F961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кту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акта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поширюється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на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суб’єктів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малого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підприємництва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у </w:t>
      </w:r>
      <w:proofErr w:type="spellStart"/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>звязку</w:t>
      </w:r>
      <w:proofErr w:type="spellEnd"/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uk-UA" w:eastAsia="ru-RU"/>
        </w:rPr>
        <w:t xml:space="preserve"> з цим</w:t>
      </w:r>
      <w:r w:rsidR="008C3EBB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0A2616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-тест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проводився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02FF1938" w14:textId="3976F629" w:rsidR="00E27382" w:rsidRPr="00FA493E" w:rsidRDefault="00867870" w:rsidP="00E27382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lastRenderedPageBreak/>
        <w:t>П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рийняття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r w:rsidR="00EC7BF1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проекту акта</w:t>
      </w:r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передбачає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утворення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державних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структур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управління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і не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потребує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додаткових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матеріальних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та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інших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витрат</w:t>
      </w:r>
      <w:proofErr w:type="spellEnd"/>
      <w:r w:rsidR="001F50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з боку </w:t>
      </w:r>
      <w:proofErr w:type="spellStart"/>
      <w:r w:rsidR="001F5016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держави</w:t>
      </w:r>
      <w:proofErr w:type="spellEnd"/>
      <w:r w:rsidR="00E27382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17053DB8" w14:textId="06E4CF31" w:rsidR="008D2DD7" w:rsidRDefault="002C07A0" w:rsidP="000A2616">
      <w:pPr>
        <w:spacing w:before="3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Вимоги регуляторного акту будуть впроваджуватися </w:t>
      </w:r>
      <w:r w:rsidR="002D4A65"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постійними лісокористувачами</w:t>
      </w:r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Держлісагентством</w:t>
      </w:r>
      <w:proofErr w:type="spellEnd"/>
      <w:r w:rsidR="006A277D" w:rsidRPr="00FA49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14:paraId="12ED2C39" w14:textId="77777777" w:rsidR="000A2616" w:rsidRPr="00FA493E" w:rsidRDefault="000A2616" w:rsidP="000A2616">
      <w:pPr>
        <w:spacing w:before="3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5DEE812" w14:textId="7D9225AD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Обґрунтування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запропонованого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6ABC54C2" w14:textId="77777777" w:rsidR="00E64462" w:rsidRPr="000A2616" w:rsidRDefault="00E64462" w:rsidP="000A2616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</w:p>
    <w:p w14:paraId="55CF4826" w14:textId="77777777" w:rsidR="00E86B89" w:rsidRPr="00FA493E" w:rsidRDefault="00E86B89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Термін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</w:t>
      </w:r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,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який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розроблений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відповідно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до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діючих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норм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Лісового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кодексу </w:t>
      </w:r>
      <w:proofErr w:type="spellStart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="00A32CB7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,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необмежений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строку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можлива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в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разі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зміни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законодавчих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актів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України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вищої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юридичної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сили. </w:t>
      </w:r>
    </w:p>
    <w:p w14:paraId="0C0FB6CB" w14:textId="77777777" w:rsidR="00E86B89" w:rsidRPr="00FA493E" w:rsidRDefault="00F96116" w:rsidP="00E86B8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Р</w:t>
      </w:r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егуляторний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акт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набирає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чинності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після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його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офіційного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оприлюднення</w:t>
      </w:r>
      <w:proofErr w:type="spellEnd"/>
      <w:r w:rsidR="00E86B89"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51E44D2E" w14:textId="77777777" w:rsidR="00A310C9" w:rsidRPr="000A2616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3E71C9D5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VIII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показників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E58CE57" w14:textId="77777777" w:rsidR="009254B8" w:rsidRPr="000A2616" w:rsidRDefault="009254B8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1FF0B0E8" w14:textId="53ABBF46" w:rsidR="009254B8" w:rsidRPr="00FA493E" w:rsidRDefault="009254B8" w:rsidP="009254B8">
      <w:pPr>
        <w:pStyle w:val="2"/>
        <w:tabs>
          <w:tab w:val="left" w:pos="322"/>
        </w:tabs>
        <w:spacing w:after="0" w:line="240" w:lineRule="auto"/>
        <w:ind w:left="0" w:firstLine="709"/>
        <w:jc w:val="both"/>
      </w:pPr>
      <w:r w:rsidRPr="00FA493E">
        <w:t xml:space="preserve">Прогнозними значеннями показників результативності регуляторного </w:t>
      </w:r>
      <w:proofErr w:type="spellStart"/>
      <w:r w:rsidRPr="00FA493E">
        <w:t>акта</w:t>
      </w:r>
      <w:proofErr w:type="spellEnd"/>
      <w:r w:rsidRPr="00FA493E">
        <w:t xml:space="preserve"> є:</w:t>
      </w:r>
    </w:p>
    <w:p w14:paraId="635AFC7D" w14:textId="39098461" w:rsidR="00001596" w:rsidRPr="00FA493E" w:rsidRDefault="00001596" w:rsidP="00001596">
      <w:pPr>
        <w:pStyle w:val="2"/>
        <w:tabs>
          <w:tab w:val="left" w:pos="322"/>
        </w:tabs>
        <w:spacing w:after="0" w:line="240" w:lineRule="auto"/>
        <w:ind w:left="0"/>
        <w:jc w:val="both"/>
        <w:rPr>
          <w:lang w:val="uk-UA"/>
        </w:rPr>
      </w:pPr>
      <w:r w:rsidRPr="00FA493E">
        <w:rPr>
          <w:lang w:val="uk-UA"/>
        </w:rPr>
        <w:tab/>
      </w:r>
      <w:r w:rsidRPr="00FA493E">
        <w:rPr>
          <w:lang w:val="uk-UA"/>
        </w:rPr>
        <w:tab/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FA493E">
        <w:rPr>
          <w:lang w:val="uk-UA"/>
        </w:rPr>
        <w:t>акта</w:t>
      </w:r>
      <w:proofErr w:type="spellEnd"/>
      <w:r w:rsidRPr="00FA493E">
        <w:rPr>
          <w:lang w:val="uk-UA"/>
        </w:rPr>
        <w:t xml:space="preserve"> – не передбачається;</w:t>
      </w:r>
    </w:p>
    <w:p w14:paraId="6FBF6AD4" w14:textId="49DAB8DF" w:rsidR="009254B8" w:rsidRPr="00FA493E" w:rsidRDefault="00F43E0D" w:rsidP="009C489B">
      <w:pPr>
        <w:pStyle w:val="2"/>
        <w:tabs>
          <w:tab w:val="left" w:pos="0"/>
          <w:tab w:val="left" w:pos="322"/>
        </w:tabs>
        <w:spacing w:after="0" w:line="240" w:lineRule="auto"/>
        <w:ind w:left="-142" w:firstLine="851"/>
        <w:jc w:val="both"/>
      </w:pPr>
      <w:r w:rsidRPr="00FA493E">
        <w:rPr>
          <w:lang w:val="uk-UA"/>
        </w:rPr>
        <w:t>к</w:t>
      </w:r>
      <w:proofErr w:type="spellStart"/>
      <w:r w:rsidR="009254B8" w:rsidRPr="00FA493E">
        <w:t>ількість</w:t>
      </w:r>
      <w:proofErr w:type="spellEnd"/>
      <w:r w:rsidR="009254B8" w:rsidRPr="00FA493E">
        <w:t xml:space="preserve"> суб’єктів господарювання</w:t>
      </w:r>
      <w:r w:rsidR="009C489B" w:rsidRPr="00FA493E">
        <w:rPr>
          <w:lang w:val="uk-UA"/>
        </w:rPr>
        <w:t>,</w:t>
      </w:r>
      <w:r w:rsidR="009C489B" w:rsidRPr="00FA493E">
        <w:t xml:space="preserve"> </w:t>
      </w:r>
      <w:r w:rsidR="009254B8" w:rsidRPr="00FA493E">
        <w:t xml:space="preserve">на яких поширюється дія </w:t>
      </w:r>
      <w:proofErr w:type="spellStart"/>
      <w:r w:rsidR="009254B8" w:rsidRPr="00FA493E">
        <w:t>акта</w:t>
      </w:r>
      <w:proofErr w:type="spellEnd"/>
      <w:r w:rsidR="008204E8" w:rsidRPr="00FA493E">
        <w:rPr>
          <w:lang w:val="uk-UA"/>
        </w:rPr>
        <w:t xml:space="preserve"> </w:t>
      </w:r>
      <w:r w:rsidR="00F651C2" w:rsidRPr="00FA493E">
        <w:rPr>
          <w:lang w:val="uk-UA"/>
        </w:rPr>
        <w:t>–</w:t>
      </w:r>
      <w:r w:rsidR="008204E8" w:rsidRPr="00FA493E">
        <w:rPr>
          <w:lang w:val="uk-UA"/>
        </w:rPr>
        <w:t xml:space="preserve"> 507</w:t>
      </w:r>
      <w:r w:rsidR="00751D52" w:rsidRPr="00FA493E">
        <w:rPr>
          <w:lang w:val="uk-UA"/>
        </w:rPr>
        <w:t>;</w:t>
      </w:r>
      <w:r w:rsidR="009254B8" w:rsidRPr="00FA493E">
        <w:t xml:space="preserve"> </w:t>
      </w:r>
    </w:p>
    <w:p w14:paraId="1D7229D9" w14:textId="6F4E699C" w:rsidR="009254B8" w:rsidRPr="00FA493E" w:rsidRDefault="00F43E0D" w:rsidP="009254B8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</w:pPr>
      <w:r w:rsidRPr="00FA493E">
        <w:rPr>
          <w:lang w:val="uk-UA"/>
        </w:rPr>
        <w:t>р</w:t>
      </w:r>
      <w:proofErr w:type="spellStart"/>
      <w:r w:rsidR="009254B8" w:rsidRPr="00FA493E">
        <w:t>івень</w:t>
      </w:r>
      <w:proofErr w:type="spellEnd"/>
      <w:r w:rsidR="009254B8" w:rsidRPr="00FA493E">
        <w:t xml:space="preserve"> поінформованості суб’єктів господарювання з основних положень регуляторного </w:t>
      </w:r>
      <w:proofErr w:type="spellStart"/>
      <w:r w:rsidR="009254B8" w:rsidRPr="00FA493E">
        <w:t>акта</w:t>
      </w:r>
      <w:proofErr w:type="spellEnd"/>
      <w:r w:rsidR="009254B8" w:rsidRPr="00FA493E">
        <w:t xml:space="preserve"> – </w:t>
      </w:r>
      <w:r w:rsidR="001A5FB1" w:rsidRPr="00FA493E">
        <w:rPr>
          <w:lang w:val="uk-UA"/>
        </w:rPr>
        <w:t>середній</w:t>
      </w:r>
      <w:r w:rsidR="00751D52" w:rsidRPr="00FA493E">
        <w:rPr>
          <w:lang w:val="uk-UA"/>
        </w:rPr>
        <w:t xml:space="preserve"> (</w:t>
      </w:r>
      <w:r w:rsidR="00EC7BF1" w:rsidRPr="00FA493E">
        <w:rPr>
          <w:color w:val="211F1F"/>
          <w:szCs w:val="28"/>
          <w:lang w:val="ru-RU"/>
        </w:rPr>
        <w:t xml:space="preserve">проекту акта </w:t>
      </w:r>
      <w:r w:rsidR="009254B8" w:rsidRPr="00FA493E">
        <w:t xml:space="preserve">та аналіз регуляторного впливу </w:t>
      </w:r>
      <w:proofErr w:type="spellStart"/>
      <w:r w:rsidR="009254B8" w:rsidRPr="00FA493E">
        <w:t>акта</w:t>
      </w:r>
      <w:proofErr w:type="spellEnd"/>
      <w:r w:rsidR="009254B8" w:rsidRPr="00FA493E">
        <w:t xml:space="preserve"> розміщ</w:t>
      </w:r>
      <w:r w:rsidRPr="00FA493E">
        <w:rPr>
          <w:lang w:val="uk-UA"/>
        </w:rPr>
        <w:t>ується</w:t>
      </w:r>
      <w:r w:rsidR="009254B8" w:rsidRPr="00FA493E">
        <w:t xml:space="preserve"> на офіційн</w:t>
      </w:r>
      <w:r w:rsidR="006A277D" w:rsidRPr="00FA493E">
        <w:rPr>
          <w:lang w:val="uk-UA"/>
        </w:rPr>
        <w:t>ому</w:t>
      </w:r>
      <w:r w:rsidR="009254B8" w:rsidRPr="00FA493E">
        <w:t xml:space="preserve"> веб-сайт</w:t>
      </w:r>
      <w:r w:rsidR="006A277D" w:rsidRPr="00FA493E">
        <w:rPr>
          <w:lang w:val="uk-UA"/>
        </w:rPr>
        <w:t>і</w:t>
      </w:r>
      <w:r w:rsidR="009254B8" w:rsidRPr="00FA493E">
        <w:t xml:space="preserve"> </w:t>
      </w:r>
      <w:proofErr w:type="spellStart"/>
      <w:r w:rsidR="00867870" w:rsidRPr="00FA493E">
        <w:rPr>
          <w:rStyle w:val="rvts23"/>
          <w:color w:val="000000"/>
          <w:szCs w:val="28"/>
          <w:lang w:val="uk-UA"/>
        </w:rPr>
        <w:t>Держлісагентства</w:t>
      </w:r>
      <w:proofErr w:type="spellEnd"/>
      <w:r w:rsidR="00751D52" w:rsidRPr="00FA493E">
        <w:rPr>
          <w:rStyle w:val="rvts23"/>
          <w:color w:val="000000"/>
          <w:szCs w:val="28"/>
          <w:lang w:val="uk-UA"/>
        </w:rPr>
        <w:t>)</w:t>
      </w:r>
      <w:r w:rsidR="009254B8" w:rsidRPr="00FA493E">
        <w:t>.</w:t>
      </w:r>
    </w:p>
    <w:p w14:paraId="454A82F9" w14:textId="0417AC68" w:rsidR="00C26373" w:rsidRPr="000A2616" w:rsidRDefault="00C26373" w:rsidP="00C26373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  <w:rPr>
          <w:szCs w:val="28"/>
          <w:lang w:val="uk-UA"/>
        </w:rPr>
      </w:pPr>
    </w:p>
    <w:p w14:paraId="56918313" w14:textId="77777777" w:rsidR="00672401" w:rsidRPr="00FA493E" w:rsidRDefault="00672401" w:rsidP="00644FF4">
      <w:pPr>
        <w:shd w:val="clear" w:color="auto" w:fill="FFFFFF"/>
        <w:spacing w:before="31" w:after="0" w:line="240" w:lineRule="auto"/>
        <w:jc w:val="center"/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</w:pPr>
      <w:bookmarkStart w:id="5" w:name="n167"/>
      <w:bookmarkStart w:id="6" w:name="n168"/>
      <w:bookmarkStart w:id="7" w:name="n170"/>
      <w:bookmarkEnd w:id="5"/>
      <w:bookmarkEnd w:id="6"/>
      <w:bookmarkEnd w:id="7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eastAsia="ru-RU"/>
        </w:rPr>
        <w:t>IX</w:t>
      </w:r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.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Визначення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заходів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, за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допомогою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яких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здійснюватиметься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>дії</w:t>
      </w:r>
      <w:proofErr w:type="spellEnd"/>
      <w:r w:rsidRPr="00FA493E">
        <w:rPr>
          <w:rFonts w:ascii="Times New Roman" w:hAnsi="Times New Roman" w:cs="Times New Roman"/>
          <w:b/>
          <w:bCs/>
          <w:color w:val="211F1F"/>
          <w:sz w:val="28"/>
          <w:szCs w:val="28"/>
          <w:lang w:val="ru-RU" w:eastAsia="ru-RU"/>
        </w:rPr>
        <w:t xml:space="preserve"> регуляторного акта</w:t>
      </w:r>
    </w:p>
    <w:p w14:paraId="275E434D" w14:textId="77777777" w:rsidR="00A310C9" w:rsidRPr="000A2616" w:rsidRDefault="00A310C9" w:rsidP="00A310C9">
      <w:pPr>
        <w:shd w:val="clear" w:color="auto" w:fill="FFFFFF"/>
        <w:spacing w:before="31"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</w:p>
    <w:p w14:paraId="0A682676" w14:textId="03516742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n171"/>
      <w:bookmarkStart w:id="9" w:name="n235"/>
      <w:bookmarkStart w:id="10" w:name="n234"/>
      <w:bookmarkStart w:id="11" w:name="n176"/>
      <w:bookmarkStart w:id="12" w:name="n232"/>
      <w:bookmarkStart w:id="13" w:name="n231"/>
      <w:bookmarkStart w:id="14" w:name="n189"/>
      <w:bookmarkEnd w:id="8"/>
      <w:bookmarkEnd w:id="9"/>
      <w:bookmarkEnd w:id="10"/>
      <w:bookmarkEnd w:id="11"/>
      <w:bookmarkEnd w:id="12"/>
      <w:bookmarkEnd w:id="13"/>
      <w:bookmarkEnd w:id="14"/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Базове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регуляторного акта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меть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9BC"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455D04" w:rsidRPr="00FA49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49BC"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 рік після набрання чинності</w:t>
      </w:r>
      <w:r w:rsidR="00444B2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регуляторного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729" w:rsidRPr="00FA493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дня, з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повторного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82ADF" w14:textId="008AA388" w:rsidR="00BF741E" w:rsidRPr="00FA493E" w:rsidRDefault="00BF741E" w:rsidP="00455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</w:pP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Повторне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регуляторного акта</w:t>
      </w:r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актом. У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кількісне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якісне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455D04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</w:t>
      </w:r>
      <w:r w:rsidRPr="00FA493E">
        <w:rPr>
          <w:rFonts w:ascii="Times New Roman" w:hAnsi="Times New Roman" w:cs="Times New Roman"/>
          <w:color w:val="211F1F"/>
          <w:sz w:val="28"/>
          <w:szCs w:val="28"/>
          <w:lang w:val="ru-RU" w:eastAsia="ru-RU"/>
        </w:rPr>
        <w:t>.</w:t>
      </w:r>
    </w:p>
    <w:p w14:paraId="60B19B14" w14:textId="7F5A6E9F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Періодичн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раз на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кожні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три роки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80429C" w:rsidRPr="00FA493E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з повторного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1A5FB1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52B67B" w14:textId="6608D0EC" w:rsidR="001A5FB1" w:rsidRPr="00FA493E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статистичний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3CAF1" w14:textId="13E1DE09" w:rsidR="001A5FB1" w:rsidRPr="00FA493E" w:rsidRDefault="001A5FB1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статистичні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A78" w:rsidRPr="00FA493E">
        <w:rPr>
          <w:rFonts w:ascii="Times New Roman" w:hAnsi="Times New Roman" w:cs="Times New Roman"/>
          <w:sz w:val="28"/>
          <w:szCs w:val="28"/>
          <w:lang w:val="uk-UA"/>
        </w:rPr>
        <w:t xml:space="preserve">та видів </w:t>
      </w:r>
      <w:proofErr w:type="spellStart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E76C7"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рубок)</w:t>
      </w:r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747F4" w14:textId="77777777" w:rsidR="00BF741E" w:rsidRPr="00FA493E" w:rsidRDefault="00BF741E" w:rsidP="004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9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неврегульованих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моментів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акта,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виправлено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внесенням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493E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FA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B00E83" w14:textId="77777777" w:rsidR="00620B6D" w:rsidRPr="00FA493E" w:rsidRDefault="00620B6D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29C49B" w14:textId="2C66DB7B" w:rsidR="00005F61" w:rsidRPr="00FA493E" w:rsidRDefault="00005F6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FEB642" w14:textId="23E8ACB7" w:rsidR="00D97A11" w:rsidRDefault="00D97A1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36A34D" w14:textId="77777777" w:rsidR="003B1091" w:rsidRPr="00FA493E" w:rsidRDefault="003B1091" w:rsidP="00BF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962"/>
        <w:gridCol w:w="1417"/>
        <w:gridCol w:w="3341"/>
      </w:tblGrid>
      <w:tr w:rsidR="00666282" w:rsidRPr="00AA0825" w14:paraId="285ACB4C" w14:textId="77777777" w:rsidTr="00C1590D">
        <w:tc>
          <w:tcPr>
            <w:tcW w:w="4962" w:type="dxa"/>
          </w:tcPr>
          <w:p w14:paraId="1ECA354F" w14:textId="034EC8E6" w:rsidR="00666282" w:rsidRPr="00FA493E" w:rsidRDefault="00666282" w:rsidP="00C15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15" w:name="n206"/>
            <w:bookmarkEnd w:id="15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Голов</w:t>
            </w:r>
            <w:r w:rsidR="003C7B5F"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Держ</w:t>
            </w:r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авного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агентства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лісових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ресурсів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417" w:type="dxa"/>
          </w:tcPr>
          <w:p w14:paraId="4E6BD105" w14:textId="77777777" w:rsidR="00666282" w:rsidRPr="00FA493E" w:rsidRDefault="00666282" w:rsidP="0084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</w:tcPr>
          <w:p w14:paraId="193E84EF" w14:textId="77777777" w:rsidR="00666282" w:rsidRPr="00FA493E" w:rsidRDefault="00666282" w:rsidP="008421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E7E8FAE" w14:textId="673DA905" w:rsidR="00666282" w:rsidRPr="00AA0825" w:rsidRDefault="00F71639" w:rsidP="00620B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Віктор</w:t>
            </w:r>
            <w:proofErr w:type="spellEnd"/>
            <w:r w:rsidRPr="00FA4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СМАЛЬ</w:t>
            </w:r>
          </w:p>
        </w:tc>
      </w:tr>
    </w:tbl>
    <w:p w14:paraId="3E35E838" w14:textId="77777777" w:rsidR="0071014C" w:rsidRDefault="0071014C" w:rsidP="00842103">
      <w:pPr>
        <w:spacing w:after="0"/>
      </w:pPr>
    </w:p>
    <w:sectPr w:rsidR="0071014C" w:rsidSect="00455D0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84C0" w14:textId="77777777" w:rsidR="00AB0BD0" w:rsidRDefault="00AB0BD0">
      <w:r>
        <w:separator/>
      </w:r>
    </w:p>
  </w:endnote>
  <w:endnote w:type="continuationSeparator" w:id="0">
    <w:p w14:paraId="3490BD6D" w14:textId="77777777" w:rsidR="00AB0BD0" w:rsidRDefault="00A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4192" w14:textId="77777777" w:rsidR="00AB0BD0" w:rsidRDefault="00AB0BD0">
      <w:r>
        <w:separator/>
      </w:r>
    </w:p>
  </w:footnote>
  <w:footnote w:type="continuationSeparator" w:id="0">
    <w:p w14:paraId="6B8633FC" w14:textId="77777777" w:rsidR="00AB0BD0" w:rsidRDefault="00AB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3878" w14:textId="77777777" w:rsidR="00EC7BF1" w:rsidRDefault="00EC7BF1" w:rsidP="005858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891F58" w14:textId="77777777" w:rsidR="00EC7BF1" w:rsidRDefault="00EC7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6894" w14:textId="0EA63AF7" w:rsidR="00EC7BF1" w:rsidRPr="00666282" w:rsidRDefault="00EC7BF1" w:rsidP="00585854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66282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66282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A26066">
      <w:rPr>
        <w:rStyle w:val="a6"/>
        <w:rFonts w:ascii="Times New Roman" w:hAnsi="Times New Roman" w:cs="Times New Roman"/>
        <w:noProof/>
        <w:sz w:val="24"/>
        <w:szCs w:val="24"/>
      </w:rPr>
      <w:t>9</w:t>
    </w:r>
    <w:r w:rsidRPr="00666282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1ECBF0A6" w14:textId="77777777" w:rsidR="00EC7BF1" w:rsidRDefault="00EC7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6370B"/>
    <w:multiLevelType w:val="hybridMultilevel"/>
    <w:tmpl w:val="48625DD4"/>
    <w:lvl w:ilvl="0" w:tplc="5BC40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2B83"/>
    <w:multiLevelType w:val="hybridMultilevel"/>
    <w:tmpl w:val="74C086CE"/>
    <w:lvl w:ilvl="0" w:tplc="BDEA5B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487"/>
    <w:multiLevelType w:val="hybridMultilevel"/>
    <w:tmpl w:val="10FE66E0"/>
    <w:lvl w:ilvl="0" w:tplc="8D0A2E5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25326"/>
    <w:multiLevelType w:val="hybridMultilevel"/>
    <w:tmpl w:val="015EB6CA"/>
    <w:lvl w:ilvl="0" w:tplc="C3202E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91599">
    <w:abstractNumId w:val="0"/>
  </w:num>
  <w:num w:numId="2" w16cid:durableId="1103573957">
    <w:abstractNumId w:val="3"/>
  </w:num>
  <w:num w:numId="3" w16cid:durableId="6449184">
    <w:abstractNumId w:val="1"/>
  </w:num>
  <w:num w:numId="4" w16cid:durableId="156972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82"/>
    <w:rsid w:val="00001596"/>
    <w:rsid w:val="00005C21"/>
    <w:rsid w:val="00005F61"/>
    <w:rsid w:val="0001122E"/>
    <w:rsid w:val="00011B6E"/>
    <w:rsid w:val="00012B26"/>
    <w:rsid w:val="00012BD8"/>
    <w:rsid w:val="000166A4"/>
    <w:rsid w:val="0002220D"/>
    <w:rsid w:val="00022AB1"/>
    <w:rsid w:val="000250B6"/>
    <w:rsid w:val="0002582A"/>
    <w:rsid w:val="00025C50"/>
    <w:rsid w:val="00025FCD"/>
    <w:rsid w:val="0003256E"/>
    <w:rsid w:val="000341A3"/>
    <w:rsid w:val="000347CF"/>
    <w:rsid w:val="00056195"/>
    <w:rsid w:val="00061A5E"/>
    <w:rsid w:val="0006471F"/>
    <w:rsid w:val="0008094D"/>
    <w:rsid w:val="0009100E"/>
    <w:rsid w:val="00091870"/>
    <w:rsid w:val="000954A6"/>
    <w:rsid w:val="000965D4"/>
    <w:rsid w:val="000A12AD"/>
    <w:rsid w:val="000A2616"/>
    <w:rsid w:val="000A31C9"/>
    <w:rsid w:val="000A7A1E"/>
    <w:rsid w:val="000B0B95"/>
    <w:rsid w:val="000B3A4A"/>
    <w:rsid w:val="000B40FC"/>
    <w:rsid w:val="000C0ECC"/>
    <w:rsid w:val="000D0469"/>
    <w:rsid w:val="000D1734"/>
    <w:rsid w:val="000D34BE"/>
    <w:rsid w:val="000D68DA"/>
    <w:rsid w:val="000E1BCF"/>
    <w:rsid w:val="000E51AC"/>
    <w:rsid w:val="000E7E7D"/>
    <w:rsid w:val="000F4FEB"/>
    <w:rsid w:val="001005F0"/>
    <w:rsid w:val="00117139"/>
    <w:rsid w:val="00121CE8"/>
    <w:rsid w:val="00124A34"/>
    <w:rsid w:val="00130584"/>
    <w:rsid w:val="0013227F"/>
    <w:rsid w:val="00142F07"/>
    <w:rsid w:val="00150A6F"/>
    <w:rsid w:val="0016557B"/>
    <w:rsid w:val="00167C46"/>
    <w:rsid w:val="00177E2F"/>
    <w:rsid w:val="00191EBC"/>
    <w:rsid w:val="001A2E77"/>
    <w:rsid w:val="001A432A"/>
    <w:rsid w:val="001A5FB1"/>
    <w:rsid w:val="001B03D5"/>
    <w:rsid w:val="001B382F"/>
    <w:rsid w:val="001B49BC"/>
    <w:rsid w:val="001B551A"/>
    <w:rsid w:val="001D3365"/>
    <w:rsid w:val="001D430B"/>
    <w:rsid w:val="001D60D2"/>
    <w:rsid w:val="001E1B58"/>
    <w:rsid w:val="001E7821"/>
    <w:rsid w:val="001F162D"/>
    <w:rsid w:val="001F5016"/>
    <w:rsid w:val="00211FF1"/>
    <w:rsid w:val="00215F03"/>
    <w:rsid w:val="0021701B"/>
    <w:rsid w:val="0021728E"/>
    <w:rsid w:val="002234C7"/>
    <w:rsid w:val="00224787"/>
    <w:rsid w:val="0023224C"/>
    <w:rsid w:val="00232437"/>
    <w:rsid w:val="00232944"/>
    <w:rsid w:val="00241082"/>
    <w:rsid w:val="00242891"/>
    <w:rsid w:val="00245E31"/>
    <w:rsid w:val="002521BC"/>
    <w:rsid w:val="00260F30"/>
    <w:rsid w:val="00261B20"/>
    <w:rsid w:val="002622CB"/>
    <w:rsid w:val="00263F4E"/>
    <w:rsid w:val="00275044"/>
    <w:rsid w:val="00282142"/>
    <w:rsid w:val="0028668E"/>
    <w:rsid w:val="0028671C"/>
    <w:rsid w:val="00297CCE"/>
    <w:rsid w:val="002A7A6C"/>
    <w:rsid w:val="002B03B6"/>
    <w:rsid w:val="002B6E16"/>
    <w:rsid w:val="002C07A0"/>
    <w:rsid w:val="002C0EAB"/>
    <w:rsid w:val="002C140B"/>
    <w:rsid w:val="002C1635"/>
    <w:rsid w:val="002C3C6D"/>
    <w:rsid w:val="002C55D9"/>
    <w:rsid w:val="002D0343"/>
    <w:rsid w:val="002D4457"/>
    <w:rsid w:val="002D4A65"/>
    <w:rsid w:val="002E25E7"/>
    <w:rsid w:val="002E31B5"/>
    <w:rsid w:val="002E4557"/>
    <w:rsid w:val="002E7936"/>
    <w:rsid w:val="00301DA6"/>
    <w:rsid w:val="0030202A"/>
    <w:rsid w:val="00310BB4"/>
    <w:rsid w:val="00311974"/>
    <w:rsid w:val="00323EA1"/>
    <w:rsid w:val="00323F52"/>
    <w:rsid w:val="0032563C"/>
    <w:rsid w:val="00325BA5"/>
    <w:rsid w:val="003311D3"/>
    <w:rsid w:val="003320D3"/>
    <w:rsid w:val="003359CA"/>
    <w:rsid w:val="00335D5B"/>
    <w:rsid w:val="00336429"/>
    <w:rsid w:val="00342C19"/>
    <w:rsid w:val="00343CAC"/>
    <w:rsid w:val="0034619F"/>
    <w:rsid w:val="0034794D"/>
    <w:rsid w:val="00352A7C"/>
    <w:rsid w:val="00354953"/>
    <w:rsid w:val="00355697"/>
    <w:rsid w:val="00357828"/>
    <w:rsid w:val="00372F4E"/>
    <w:rsid w:val="00374303"/>
    <w:rsid w:val="00375855"/>
    <w:rsid w:val="003868AC"/>
    <w:rsid w:val="003868EC"/>
    <w:rsid w:val="00395730"/>
    <w:rsid w:val="00396361"/>
    <w:rsid w:val="00396478"/>
    <w:rsid w:val="003A0A73"/>
    <w:rsid w:val="003A3DB9"/>
    <w:rsid w:val="003A58E2"/>
    <w:rsid w:val="003A6A14"/>
    <w:rsid w:val="003B1091"/>
    <w:rsid w:val="003B3459"/>
    <w:rsid w:val="003B478E"/>
    <w:rsid w:val="003C1B75"/>
    <w:rsid w:val="003C1CAA"/>
    <w:rsid w:val="003C7B5F"/>
    <w:rsid w:val="003D1430"/>
    <w:rsid w:val="003D37A2"/>
    <w:rsid w:val="003E4ACB"/>
    <w:rsid w:val="003E4C1A"/>
    <w:rsid w:val="003F0440"/>
    <w:rsid w:val="003F0C42"/>
    <w:rsid w:val="003F180C"/>
    <w:rsid w:val="003F7387"/>
    <w:rsid w:val="00403510"/>
    <w:rsid w:val="00404F44"/>
    <w:rsid w:val="00407311"/>
    <w:rsid w:val="004100C0"/>
    <w:rsid w:val="00411EB1"/>
    <w:rsid w:val="0041280F"/>
    <w:rsid w:val="00422D6E"/>
    <w:rsid w:val="00425AB4"/>
    <w:rsid w:val="00425E3E"/>
    <w:rsid w:val="00434873"/>
    <w:rsid w:val="00436B39"/>
    <w:rsid w:val="00444B27"/>
    <w:rsid w:val="0045031B"/>
    <w:rsid w:val="00452621"/>
    <w:rsid w:val="00455D04"/>
    <w:rsid w:val="00460FD5"/>
    <w:rsid w:val="004617DA"/>
    <w:rsid w:val="00462877"/>
    <w:rsid w:val="004736B6"/>
    <w:rsid w:val="00473DDC"/>
    <w:rsid w:val="00477AE0"/>
    <w:rsid w:val="00484D49"/>
    <w:rsid w:val="004877D4"/>
    <w:rsid w:val="00496702"/>
    <w:rsid w:val="0049727A"/>
    <w:rsid w:val="004A1AA5"/>
    <w:rsid w:val="004A5F0F"/>
    <w:rsid w:val="004B5425"/>
    <w:rsid w:val="004C350E"/>
    <w:rsid w:val="004C5388"/>
    <w:rsid w:val="004D0BF0"/>
    <w:rsid w:val="004D3C8D"/>
    <w:rsid w:val="004E0372"/>
    <w:rsid w:val="004E2E20"/>
    <w:rsid w:val="004E4B82"/>
    <w:rsid w:val="004E5C49"/>
    <w:rsid w:val="004E76C7"/>
    <w:rsid w:val="004F37D8"/>
    <w:rsid w:val="00503B03"/>
    <w:rsid w:val="005040F7"/>
    <w:rsid w:val="00507B08"/>
    <w:rsid w:val="00516178"/>
    <w:rsid w:val="00526A0F"/>
    <w:rsid w:val="005339E8"/>
    <w:rsid w:val="0053584E"/>
    <w:rsid w:val="00536488"/>
    <w:rsid w:val="00540AC4"/>
    <w:rsid w:val="00540BC0"/>
    <w:rsid w:val="005434FF"/>
    <w:rsid w:val="00546BCD"/>
    <w:rsid w:val="005473CF"/>
    <w:rsid w:val="00547C4D"/>
    <w:rsid w:val="005605E5"/>
    <w:rsid w:val="00560E2D"/>
    <w:rsid w:val="00561587"/>
    <w:rsid w:val="00567D61"/>
    <w:rsid w:val="00567EAA"/>
    <w:rsid w:val="00573C7D"/>
    <w:rsid w:val="005762A0"/>
    <w:rsid w:val="00577AA5"/>
    <w:rsid w:val="005813A9"/>
    <w:rsid w:val="00582B98"/>
    <w:rsid w:val="00582DB3"/>
    <w:rsid w:val="00585854"/>
    <w:rsid w:val="00586666"/>
    <w:rsid w:val="00590A6D"/>
    <w:rsid w:val="005938FD"/>
    <w:rsid w:val="005B21EB"/>
    <w:rsid w:val="005B5119"/>
    <w:rsid w:val="005C14B0"/>
    <w:rsid w:val="005C150D"/>
    <w:rsid w:val="005C1761"/>
    <w:rsid w:val="005C1DC5"/>
    <w:rsid w:val="005D7BA2"/>
    <w:rsid w:val="005E6650"/>
    <w:rsid w:val="005E7AF4"/>
    <w:rsid w:val="005F3381"/>
    <w:rsid w:val="00603A3F"/>
    <w:rsid w:val="006074C5"/>
    <w:rsid w:val="00610CB2"/>
    <w:rsid w:val="00612304"/>
    <w:rsid w:val="00620B6D"/>
    <w:rsid w:val="00636323"/>
    <w:rsid w:val="00636830"/>
    <w:rsid w:val="00640346"/>
    <w:rsid w:val="00644FF4"/>
    <w:rsid w:val="006549AE"/>
    <w:rsid w:val="00660155"/>
    <w:rsid w:val="00666282"/>
    <w:rsid w:val="00672401"/>
    <w:rsid w:val="00676DCE"/>
    <w:rsid w:val="006A152B"/>
    <w:rsid w:val="006A277D"/>
    <w:rsid w:val="006A65C0"/>
    <w:rsid w:val="006B1637"/>
    <w:rsid w:val="006B2722"/>
    <w:rsid w:val="006B2E08"/>
    <w:rsid w:val="006C3040"/>
    <w:rsid w:val="006C6586"/>
    <w:rsid w:val="006D021A"/>
    <w:rsid w:val="006D1785"/>
    <w:rsid w:val="006D1C0C"/>
    <w:rsid w:val="006D4AD3"/>
    <w:rsid w:val="006D5981"/>
    <w:rsid w:val="006F08D0"/>
    <w:rsid w:val="006F34F0"/>
    <w:rsid w:val="006F5E1E"/>
    <w:rsid w:val="00701529"/>
    <w:rsid w:val="0070189D"/>
    <w:rsid w:val="00702AA3"/>
    <w:rsid w:val="00705593"/>
    <w:rsid w:val="00707440"/>
    <w:rsid w:val="0071014C"/>
    <w:rsid w:val="00713554"/>
    <w:rsid w:val="00721A32"/>
    <w:rsid w:val="0072362A"/>
    <w:rsid w:val="00727283"/>
    <w:rsid w:val="0073049A"/>
    <w:rsid w:val="00734700"/>
    <w:rsid w:val="00751D52"/>
    <w:rsid w:val="00753C54"/>
    <w:rsid w:val="007617EA"/>
    <w:rsid w:val="007651B9"/>
    <w:rsid w:val="007709A0"/>
    <w:rsid w:val="007730A0"/>
    <w:rsid w:val="007777DE"/>
    <w:rsid w:val="0078315C"/>
    <w:rsid w:val="00784757"/>
    <w:rsid w:val="007905D3"/>
    <w:rsid w:val="00792903"/>
    <w:rsid w:val="007A56D0"/>
    <w:rsid w:val="007A58F1"/>
    <w:rsid w:val="007B0D63"/>
    <w:rsid w:val="007B5806"/>
    <w:rsid w:val="007D1F8A"/>
    <w:rsid w:val="007E173E"/>
    <w:rsid w:val="007E69F6"/>
    <w:rsid w:val="007F2723"/>
    <w:rsid w:val="007F4479"/>
    <w:rsid w:val="007F7F8D"/>
    <w:rsid w:val="00802927"/>
    <w:rsid w:val="0080429C"/>
    <w:rsid w:val="00804CB1"/>
    <w:rsid w:val="008144BC"/>
    <w:rsid w:val="008204E8"/>
    <w:rsid w:val="00820DC6"/>
    <w:rsid w:val="0082219B"/>
    <w:rsid w:val="00822996"/>
    <w:rsid w:val="0083142E"/>
    <w:rsid w:val="00832469"/>
    <w:rsid w:val="00833123"/>
    <w:rsid w:val="00842103"/>
    <w:rsid w:val="00844273"/>
    <w:rsid w:val="008448D6"/>
    <w:rsid w:val="0085230A"/>
    <w:rsid w:val="00854EAC"/>
    <w:rsid w:val="00863449"/>
    <w:rsid w:val="00867870"/>
    <w:rsid w:val="00883E22"/>
    <w:rsid w:val="00886B70"/>
    <w:rsid w:val="008A02B5"/>
    <w:rsid w:val="008A06F6"/>
    <w:rsid w:val="008A1990"/>
    <w:rsid w:val="008A2337"/>
    <w:rsid w:val="008A5E9E"/>
    <w:rsid w:val="008B4C0D"/>
    <w:rsid w:val="008B69FC"/>
    <w:rsid w:val="008C3028"/>
    <w:rsid w:val="008C3EBB"/>
    <w:rsid w:val="008C454C"/>
    <w:rsid w:val="008C599B"/>
    <w:rsid w:val="008C7D66"/>
    <w:rsid w:val="008D1792"/>
    <w:rsid w:val="008D2DD7"/>
    <w:rsid w:val="008D4E60"/>
    <w:rsid w:val="008D70EB"/>
    <w:rsid w:val="008E0C69"/>
    <w:rsid w:val="008E55A8"/>
    <w:rsid w:val="008F173A"/>
    <w:rsid w:val="00911208"/>
    <w:rsid w:val="00912FDA"/>
    <w:rsid w:val="0091449A"/>
    <w:rsid w:val="00922510"/>
    <w:rsid w:val="00922D56"/>
    <w:rsid w:val="009254B8"/>
    <w:rsid w:val="009306C9"/>
    <w:rsid w:val="0093250C"/>
    <w:rsid w:val="009341EA"/>
    <w:rsid w:val="0094302B"/>
    <w:rsid w:val="0094497D"/>
    <w:rsid w:val="00963094"/>
    <w:rsid w:val="0096522C"/>
    <w:rsid w:val="009657FB"/>
    <w:rsid w:val="00966258"/>
    <w:rsid w:val="009716A5"/>
    <w:rsid w:val="009751F5"/>
    <w:rsid w:val="009914FA"/>
    <w:rsid w:val="009A4C3C"/>
    <w:rsid w:val="009A5CCA"/>
    <w:rsid w:val="009B495B"/>
    <w:rsid w:val="009C4060"/>
    <w:rsid w:val="009C489B"/>
    <w:rsid w:val="009C6F4F"/>
    <w:rsid w:val="009D11BC"/>
    <w:rsid w:val="009D522D"/>
    <w:rsid w:val="009E1DB2"/>
    <w:rsid w:val="009E2397"/>
    <w:rsid w:val="009E3E4D"/>
    <w:rsid w:val="009E4D0B"/>
    <w:rsid w:val="009E798D"/>
    <w:rsid w:val="009F659E"/>
    <w:rsid w:val="009F736D"/>
    <w:rsid w:val="00A0080C"/>
    <w:rsid w:val="00A05628"/>
    <w:rsid w:val="00A10C53"/>
    <w:rsid w:val="00A132D7"/>
    <w:rsid w:val="00A164F9"/>
    <w:rsid w:val="00A25B12"/>
    <w:rsid w:val="00A26066"/>
    <w:rsid w:val="00A26855"/>
    <w:rsid w:val="00A3061A"/>
    <w:rsid w:val="00A30EFC"/>
    <w:rsid w:val="00A310C9"/>
    <w:rsid w:val="00A317EF"/>
    <w:rsid w:val="00A32CB7"/>
    <w:rsid w:val="00A35C90"/>
    <w:rsid w:val="00A37538"/>
    <w:rsid w:val="00A475EA"/>
    <w:rsid w:val="00A559F2"/>
    <w:rsid w:val="00A633A8"/>
    <w:rsid w:val="00A6431F"/>
    <w:rsid w:val="00A6632F"/>
    <w:rsid w:val="00A717E6"/>
    <w:rsid w:val="00A76EB2"/>
    <w:rsid w:val="00A821E7"/>
    <w:rsid w:val="00A84141"/>
    <w:rsid w:val="00A94F26"/>
    <w:rsid w:val="00A9581A"/>
    <w:rsid w:val="00AA4960"/>
    <w:rsid w:val="00AB0BD0"/>
    <w:rsid w:val="00AB518B"/>
    <w:rsid w:val="00AB7E7F"/>
    <w:rsid w:val="00AD24F7"/>
    <w:rsid w:val="00AD4712"/>
    <w:rsid w:val="00AD7043"/>
    <w:rsid w:val="00AE3D2A"/>
    <w:rsid w:val="00AF53BD"/>
    <w:rsid w:val="00B10A78"/>
    <w:rsid w:val="00B169D8"/>
    <w:rsid w:val="00B270FB"/>
    <w:rsid w:val="00B27F63"/>
    <w:rsid w:val="00B333AD"/>
    <w:rsid w:val="00B542D9"/>
    <w:rsid w:val="00B576D3"/>
    <w:rsid w:val="00B703F2"/>
    <w:rsid w:val="00B8267F"/>
    <w:rsid w:val="00B84DC5"/>
    <w:rsid w:val="00B9384A"/>
    <w:rsid w:val="00B96A0A"/>
    <w:rsid w:val="00B97B7A"/>
    <w:rsid w:val="00BA6AF8"/>
    <w:rsid w:val="00BB1210"/>
    <w:rsid w:val="00BC06E0"/>
    <w:rsid w:val="00BC1119"/>
    <w:rsid w:val="00BC7477"/>
    <w:rsid w:val="00BD42AF"/>
    <w:rsid w:val="00BD6A4E"/>
    <w:rsid w:val="00BE2CA2"/>
    <w:rsid w:val="00BE4DB2"/>
    <w:rsid w:val="00BF1C4F"/>
    <w:rsid w:val="00BF6487"/>
    <w:rsid w:val="00BF741E"/>
    <w:rsid w:val="00C00642"/>
    <w:rsid w:val="00C02FAB"/>
    <w:rsid w:val="00C03F6A"/>
    <w:rsid w:val="00C05D0B"/>
    <w:rsid w:val="00C11528"/>
    <w:rsid w:val="00C1590D"/>
    <w:rsid w:val="00C15CF9"/>
    <w:rsid w:val="00C23CA7"/>
    <w:rsid w:val="00C26373"/>
    <w:rsid w:val="00C37604"/>
    <w:rsid w:val="00C542A0"/>
    <w:rsid w:val="00C66FC5"/>
    <w:rsid w:val="00C716F6"/>
    <w:rsid w:val="00C74B3A"/>
    <w:rsid w:val="00C94D03"/>
    <w:rsid w:val="00CA1E7C"/>
    <w:rsid w:val="00CA35D6"/>
    <w:rsid w:val="00CA501B"/>
    <w:rsid w:val="00CA5C4A"/>
    <w:rsid w:val="00CA5EB2"/>
    <w:rsid w:val="00CB0AE7"/>
    <w:rsid w:val="00CB2DCC"/>
    <w:rsid w:val="00CB5D4A"/>
    <w:rsid w:val="00CB66CC"/>
    <w:rsid w:val="00CC21FA"/>
    <w:rsid w:val="00CC33CE"/>
    <w:rsid w:val="00CC36EF"/>
    <w:rsid w:val="00CC49A9"/>
    <w:rsid w:val="00CD0E26"/>
    <w:rsid w:val="00CD4890"/>
    <w:rsid w:val="00CE10E3"/>
    <w:rsid w:val="00CE55D6"/>
    <w:rsid w:val="00CF1782"/>
    <w:rsid w:val="00CF1875"/>
    <w:rsid w:val="00CF3986"/>
    <w:rsid w:val="00CF4807"/>
    <w:rsid w:val="00CF547A"/>
    <w:rsid w:val="00CF58F9"/>
    <w:rsid w:val="00CF6471"/>
    <w:rsid w:val="00D0386E"/>
    <w:rsid w:val="00D049E6"/>
    <w:rsid w:val="00D056C8"/>
    <w:rsid w:val="00D063AE"/>
    <w:rsid w:val="00D0669C"/>
    <w:rsid w:val="00D07419"/>
    <w:rsid w:val="00D075DA"/>
    <w:rsid w:val="00D11C8B"/>
    <w:rsid w:val="00D24ECB"/>
    <w:rsid w:val="00D3259F"/>
    <w:rsid w:val="00D32AC1"/>
    <w:rsid w:val="00D3511B"/>
    <w:rsid w:val="00D37B90"/>
    <w:rsid w:val="00D437B8"/>
    <w:rsid w:val="00D501E7"/>
    <w:rsid w:val="00D5234E"/>
    <w:rsid w:val="00D60AA5"/>
    <w:rsid w:val="00D62FCA"/>
    <w:rsid w:val="00D6364D"/>
    <w:rsid w:val="00D654A5"/>
    <w:rsid w:val="00D75EE3"/>
    <w:rsid w:val="00D76E8E"/>
    <w:rsid w:val="00D811A0"/>
    <w:rsid w:val="00D8546F"/>
    <w:rsid w:val="00D9644B"/>
    <w:rsid w:val="00D971EF"/>
    <w:rsid w:val="00D97A11"/>
    <w:rsid w:val="00DA3953"/>
    <w:rsid w:val="00DA3AD2"/>
    <w:rsid w:val="00DA4FB7"/>
    <w:rsid w:val="00DC395A"/>
    <w:rsid w:val="00DD4DB1"/>
    <w:rsid w:val="00DE2B4C"/>
    <w:rsid w:val="00DE4FD5"/>
    <w:rsid w:val="00DE6177"/>
    <w:rsid w:val="00DF36E6"/>
    <w:rsid w:val="00DF5E18"/>
    <w:rsid w:val="00DF6DB4"/>
    <w:rsid w:val="00E01F7B"/>
    <w:rsid w:val="00E02509"/>
    <w:rsid w:val="00E06607"/>
    <w:rsid w:val="00E21F75"/>
    <w:rsid w:val="00E27382"/>
    <w:rsid w:val="00E310A2"/>
    <w:rsid w:val="00E421C1"/>
    <w:rsid w:val="00E42C36"/>
    <w:rsid w:val="00E46FDD"/>
    <w:rsid w:val="00E47793"/>
    <w:rsid w:val="00E52ABB"/>
    <w:rsid w:val="00E53544"/>
    <w:rsid w:val="00E5471B"/>
    <w:rsid w:val="00E6378F"/>
    <w:rsid w:val="00E64462"/>
    <w:rsid w:val="00E754B8"/>
    <w:rsid w:val="00E809E2"/>
    <w:rsid w:val="00E82485"/>
    <w:rsid w:val="00E83FB6"/>
    <w:rsid w:val="00E86B89"/>
    <w:rsid w:val="00E86C82"/>
    <w:rsid w:val="00E87F10"/>
    <w:rsid w:val="00EA3B63"/>
    <w:rsid w:val="00EA417D"/>
    <w:rsid w:val="00EA660B"/>
    <w:rsid w:val="00EC2F38"/>
    <w:rsid w:val="00EC558E"/>
    <w:rsid w:val="00EC7BF1"/>
    <w:rsid w:val="00ED5E25"/>
    <w:rsid w:val="00ED6F8D"/>
    <w:rsid w:val="00ED74A7"/>
    <w:rsid w:val="00EE370A"/>
    <w:rsid w:val="00EF6C8A"/>
    <w:rsid w:val="00F0158D"/>
    <w:rsid w:val="00F03BD8"/>
    <w:rsid w:val="00F04913"/>
    <w:rsid w:val="00F06FA9"/>
    <w:rsid w:val="00F10D31"/>
    <w:rsid w:val="00F22E5A"/>
    <w:rsid w:val="00F30B65"/>
    <w:rsid w:val="00F43864"/>
    <w:rsid w:val="00F43E0D"/>
    <w:rsid w:val="00F508F0"/>
    <w:rsid w:val="00F52975"/>
    <w:rsid w:val="00F56729"/>
    <w:rsid w:val="00F621B7"/>
    <w:rsid w:val="00F651C2"/>
    <w:rsid w:val="00F71639"/>
    <w:rsid w:val="00F71EBB"/>
    <w:rsid w:val="00F74C2B"/>
    <w:rsid w:val="00F75BB3"/>
    <w:rsid w:val="00F774EE"/>
    <w:rsid w:val="00F8027E"/>
    <w:rsid w:val="00F9483F"/>
    <w:rsid w:val="00F96116"/>
    <w:rsid w:val="00F970EE"/>
    <w:rsid w:val="00FA493E"/>
    <w:rsid w:val="00FC0E21"/>
    <w:rsid w:val="00FC4391"/>
    <w:rsid w:val="00FC79CC"/>
    <w:rsid w:val="00FD5055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2AF7"/>
  <w15:docId w15:val="{1B075484-9C33-4D45-A296-500FC79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B95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6628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662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locked/>
    <w:rsid w:val="00666282"/>
    <w:rPr>
      <w:rFonts w:ascii="Calibri" w:hAnsi="Calibri" w:cs="Calibri"/>
      <w:lang w:val="ru-RU" w:eastAsia="ru-RU" w:bidi="ar-SA"/>
    </w:rPr>
  </w:style>
  <w:style w:type="paragraph" w:customStyle="1" w:styleId="ListParagraph1">
    <w:name w:val="List Paragraph1"/>
    <w:basedOn w:val="a"/>
    <w:rsid w:val="00666282"/>
    <w:pPr>
      <w:ind w:left="720"/>
    </w:pPr>
  </w:style>
  <w:style w:type="character" w:customStyle="1" w:styleId="rvts23">
    <w:name w:val="rvts23"/>
    <w:basedOn w:val="a0"/>
    <w:rsid w:val="00666282"/>
    <w:rPr>
      <w:rFonts w:cs="Times New Roman"/>
    </w:rPr>
  </w:style>
  <w:style w:type="paragraph" w:customStyle="1" w:styleId="NoSpacing1">
    <w:name w:val="No Spacing1"/>
    <w:rsid w:val="00666282"/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rsid w:val="00666282"/>
  </w:style>
  <w:style w:type="paragraph" w:styleId="a7">
    <w:name w:val="footer"/>
    <w:basedOn w:val="a"/>
    <w:rsid w:val="00666282"/>
    <w:pPr>
      <w:tabs>
        <w:tab w:val="center" w:pos="4819"/>
        <w:tab w:val="right" w:pos="9639"/>
      </w:tabs>
    </w:pPr>
  </w:style>
  <w:style w:type="paragraph" w:customStyle="1" w:styleId="rvps12">
    <w:name w:val="rvps1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E3D2A"/>
  </w:style>
  <w:style w:type="paragraph" w:customStyle="1" w:styleId="rvps2">
    <w:name w:val="rvps2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58">
    <w:name w:val="rvts58"/>
    <w:basedOn w:val="a0"/>
    <w:rsid w:val="00AE3D2A"/>
  </w:style>
  <w:style w:type="paragraph" w:customStyle="1" w:styleId="rvps14">
    <w:name w:val="rvps14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AE3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AE3D2A"/>
  </w:style>
  <w:style w:type="paragraph" w:customStyle="1" w:styleId="a8">
    <w:name w:val="Стиль"/>
    <w:basedOn w:val="a"/>
    <w:rsid w:val="00D0669C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35D5B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34700"/>
    <w:pPr>
      <w:ind w:left="720"/>
      <w:contextualSpacing/>
    </w:pPr>
  </w:style>
  <w:style w:type="character" w:customStyle="1" w:styleId="apple-converted-space">
    <w:name w:val="apple-converted-space"/>
    <w:basedOn w:val="a0"/>
    <w:rsid w:val="00E53544"/>
  </w:style>
  <w:style w:type="paragraph" w:styleId="2">
    <w:name w:val="Body Text Indent 2"/>
    <w:basedOn w:val="a"/>
    <w:link w:val="20"/>
    <w:rsid w:val="009254B8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rsid w:val="009254B8"/>
    <w:rPr>
      <w:sz w:val="28"/>
      <w:lang w:val="x-none"/>
    </w:rPr>
  </w:style>
  <w:style w:type="paragraph" w:customStyle="1" w:styleId="a50">
    <w:name w:val="a5"/>
    <w:basedOn w:val="a"/>
    <w:uiPriority w:val="99"/>
    <w:rsid w:val="009E1D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a"/>
    <w:uiPriority w:val="39"/>
    <w:rsid w:val="002C07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C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B97B7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a"/>
    <w:rsid w:val="0045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7387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F7387"/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d">
    <w:name w:val="Основной текст_"/>
    <w:link w:val="11"/>
    <w:locked/>
    <w:rsid w:val="003F7387"/>
    <w:rPr>
      <w:i/>
      <w:spacing w:val="-2"/>
      <w:sz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3F7387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hAnsi="Times New Roman" w:cs="Times New Roman"/>
      <w:i/>
      <w:spacing w:val="-2"/>
      <w:sz w:val="26"/>
      <w:szCs w:val="20"/>
      <w:lang w:val="ru-RU" w:eastAsia="ru-RU"/>
    </w:rPr>
  </w:style>
  <w:style w:type="character" w:customStyle="1" w:styleId="ng-star-inserted1">
    <w:name w:val="ng-star-inserted1"/>
    <w:basedOn w:val="a0"/>
    <w:rsid w:val="00CA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A65C-E3B4-497F-8F85-813BD745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10743</Words>
  <Characters>6124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DKLGU</Company>
  <LinksUpToDate>false</LinksUpToDate>
  <CharactersWithSpaces>16834</CharactersWithSpaces>
  <SharedDoc>false</SharedDoc>
  <HLinks>
    <vt:vector size="12" baseType="variant"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http://www.dklg.gov.ua/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k52-2</dc:creator>
  <cp:keywords/>
  <dc:description/>
  <cp:lastModifiedBy>Ауріка Анатоліївна Маліновська</cp:lastModifiedBy>
  <cp:revision>2</cp:revision>
  <cp:lastPrinted>2023-06-07T08:23:00Z</cp:lastPrinted>
  <dcterms:created xsi:type="dcterms:W3CDTF">2025-02-07T07:41:00Z</dcterms:created>
  <dcterms:modified xsi:type="dcterms:W3CDTF">2025-02-07T07:41:00Z</dcterms:modified>
</cp:coreProperties>
</file>