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58EC" w14:textId="77777777" w:rsidR="005B7D61" w:rsidRPr="008D5D59" w:rsidRDefault="005B7D61" w:rsidP="008D5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АНАЛІЗ РЕГУЛЯТОРНОГО ВПЛИВУ</w:t>
      </w:r>
    </w:p>
    <w:p w14:paraId="7F710EFA" w14:textId="77777777" w:rsidR="00461F38" w:rsidRPr="008D5D59" w:rsidRDefault="005B7D61" w:rsidP="008D5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до про</w:t>
      </w:r>
      <w:r w:rsidR="00E467E1"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є</w:t>
      </w: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кту постанови Кабінету Міністрів України «</w:t>
      </w:r>
      <w:r w:rsidR="00344E9C" w:rsidRPr="008D5D59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Про внесення зміни до пункту 1 </w:t>
      </w:r>
      <w:r w:rsidR="00344E9C" w:rsidRPr="008D5D59">
        <w:rPr>
          <w:rFonts w:ascii="Times New Roman" w:hAnsi="Times New Roman"/>
          <w:b/>
          <w:sz w:val="28"/>
          <w:szCs w:val="28"/>
          <w:lang w:val="uk-UA"/>
        </w:rPr>
        <w:t xml:space="preserve">постанови </w:t>
      </w:r>
      <w:r w:rsidR="00344E9C" w:rsidRPr="008D5D59">
        <w:rPr>
          <w:rFonts w:ascii="Times New Roman" w:hAnsi="Times New Roman"/>
          <w:b/>
          <w:sz w:val="28"/>
          <w:szCs w:val="28"/>
          <w:highlight w:val="white"/>
          <w:lang w:val="uk-UA"/>
        </w:rPr>
        <w:t>Кабінету Міністрів України</w:t>
      </w:r>
      <w:r w:rsidR="00344E9C" w:rsidRPr="008D5D59">
        <w:rPr>
          <w:rFonts w:ascii="Times New Roman" w:hAnsi="Times New Roman"/>
          <w:b/>
          <w:sz w:val="28"/>
          <w:szCs w:val="28"/>
          <w:lang w:val="uk-UA"/>
        </w:rPr>
        <w:t xml:space="preserve"> від 12 травня 2023 р. </w:t>
      </w:r>
      <w:r w:rsidR="0061301F" w:rsidRPr="008D5D59">
        <w:rPr>
          <w:rFonts w:ascii="Times New Roman" w:hAnsi="Times New Roman"/>
          <w:b/>
          <w:sz w:val="28"/>
          <w:szCs w:val="28"/>
          <w:lang w:val="uk-UA"/>
        </w:rPr>
        <w:br/>
      </w:r>
      <w:r w:rsidR="00344E9C" w:rsidRPr="008D5D59">
        <w:rPr>
          <w:rFonts w:ascii="Times New Roman" w:hAnsi="Times New Roman"/>
          <w:b/>
          <w:sz w:val="28"/>
          <w:szCs w:val="28"/>
          <w:lang w:val="uk-UA"/>
        </w:rPr>
        <w:t>№ 483</w:t>
      </w: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</w:t>
      </w:r>
      <w:r w:rsidR="00461F38" w:rsidRPr="008D5D59">
        <w:rPr>
          <w:rFonts w:ascii="Times New Roman" w:hAnsi="Times New Roman"/>
          <w:b/>
          <w:sz w:val="28"/>
          <w:szCs w:val="28"/>
          <w:lang w:val="uk-UA"/>
        </w:rPr>
        <w:t xml:space="preserve"> (далі – </w:t>
      </w:r>
      <w:r w:rsidR="00D424F2" w:rsidRPr="008D5D59">
        <w:rPr>
          <w:rFonts w:ascii="Times New Roman" w:hAnsi="Times New Roman"/>
          <w:b/>
          <w:sz w:val="28"/>
          <w:szCs w:val="28"/>
          <w:lang w:val="uk-UA"/>
        </w:rPr>
        <w:t>П</w:t>
      </w:r>
      <w:r w:rsidR="00461F38" w:rsidRPr="008D5D59">
        <w:rPr>
          <w:rFonts w:ascii="Times New Roman" w:hAnsi="Times New Roman"/>
          <w:b/>
          <w:sz w:val="28"/>
          <w:szCs w:val="28"/>
          <w:lang w:val="uk-UA"/>
        </w:rPr>
        <w:t>роєкт акта)</w:t>
      </w:r>
    </w:p>
    <w:p w14:paraId="2F588455" w14:textId="77777777" w:rsidR="005B7D61" w:rsidRPr="008D5D59" w:rsidRDefault="005B7D61" w:rsidP="008D5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D98E50" w14:textId="77777777" w:rsidR="005B7D61" w:rsidRPr="008D5D59" w:rsidRDefault="005B7D61" w:rsidP="008D5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I.</w:t>
      </w: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Визначення проблеми</w:t>
      </w:r>
    </w:p>
    <w:p w14:paraId="4235804F" w14:textId="77777777" w:rsidR="00386CAD" w:rsidRPr="008D5D59" w:rsidRDefault="00386CAD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Проєктом постанови Кабінету Міністрів України «Про внесення зміни до пункту 1 постанови Кабінету Міністрів України від 12 травня 2023 р. № 483» (далі – проєкт постанови, експериментальний проєкт) пропонується врегулювати питання нормативного забезпечення видачі спеціального дозволу на спеціальне використання лісових ресурсів (лісорубного квитка) (далі – лісорубний квиток) та сертифіката про походження лісоматеріалів та виготовлених з них пиломатеріалів (далі – сертифікат про походження лісоматеріалів) в електронній формі територіальними органами Держлісагентства, шляхом </w:t>
      </w:r>
      <w:r w:rsidR="008D5D59" w:rsidRPr="008D5D59">
        <w:rPr>
          <w:rFonts w:ascii="Times New Roman" w:eastAsia="Times New Roman" w:hAnsi="Times New Roman" w:cs="Times New Roman"/>
          <w:sz w:val="28"/>
          <w:szCs w:val="28"/>
        </w:rPr>
        <w:t>встанов</w:t>
      </w:r>
      <w:r w:rsid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лення</w:t>
      </w:r>
      <w:r w:rsidR="008D5D59" w:rsidRPr="008D5D59">
        <w:rPr>
          <w:rFonts w:ascii="Times New Roman" w:eastAsia="Times New Roman" w:hAnsi="Times New Roman" w:cs="Times New Roman"/>
          <w:sz w:val="28"/>
          <w:szCs w:val="28"/>
        </w:rPr>
        <w:t xml:space="preserve"> актуальн</w:t>
      </w:r>
      <w:r w:rsid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8D5D59" w:rsidRPr="008D5D59">
        <w:rPr>
          <w:rFonts w:ascii="Times New Roman" w:eastAsia="Times New Roman" w:hAnsi="Times New Roman" w:cs="Times New Roman"/>
          <w:sz w:val="28"/>
          <w:szCs w:val="28"/>
        </w:rPr>
        <w:t xml:space="preserve"> строк</w:t>
      </w:r>
      <w:r w:rsid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D5D59" w:rsidRPr="008D5D59">
        <w:rPr>
          <w:rFonts w:ascii="Times New Roman" w:eastAsia="Times New Roman" w:hAnsi="Times New Roman" w:cs="Times New Roman"/>
          <w:sz w:val="28"/>
          <w:szCs w:val="28"/>
        </w:rPr>
        <w:t xml:space="preserve"> проведення експериментального проєкту у період з 17 листопада 2023 р. по 17 листопада 2025 р., що зумовлено низкою причин.</w:t>
      </w:r>
    </w:p>
    <w:p w14:paraId="19882A3F" w14:textId="77777777" w:rsidR="00386CAD" w:rsidRPr="008D5D59" w:rsidRDefault="00386CAD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До проведення реформи всі документи дозвільного характеру в лісовій галузі видавались в паперовій формі. На практиці це означало, що будь-який постійний лісокористувач </w:t>
      </w: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мав можливість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змінювати дані на власний розсуд, підроблювати дозвільні документи та недобросовісно приховувати незаконне використання лісових ресурсів. Крім того</w:t>
      </w: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70 відсотків лісорубних квитків не видавались органами державної влади, а виписувались постійними лісокористувачами (державними та комунальними лісогосподарськими підприємствами) самі собі, </w:t>
      </w: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з яких виписувались перед перевіркою контролюючих органів.</w:t>
      </w:r>
    </w:p>
    <w:p w14:paraId="17C97AAC" w14:textId="77777777" w:rsidR="00386CAD" w:rsidRPr="008D5D59" w:rsidRDefault="00386CAD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Впровадження цифрових інструментів уже демонструє позитивні результати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. З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>а оцінками експертів, електронна видача лісорубного квитка та сертифіката про походження лісоматеріалів економить бізнесу 126,5 млн грн щорічно. Також з початку запровадження цифрових послуг видано біля 110 тис. лісорубних квитків та понад 75 тис. сертифікатів про походження лісоматеріалів в електронній формі. Обсяги незаконних рубок зменшуються, а вся необхідна інформація доступна он-лайн. Це значно зменшило кількість випадків підробки лісорубних квитків та сертифікатів про походження лісоматеріалів, що значно наблизило український лісовий сектор до європейських стандартів управління природними ресурсами.</w:t>
      </w:r>
    </w:p>
    <w:p w14:paraId="2773CC69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Незважаючи на дату набрання чинності постанов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12 травня 2023 р. № 483 «Про реалізацію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формі» 17 травня 2023 р. та початковий строк проведення експериментального проєкту – з 1 червня 2023 р. по 1 червня 2025 р., початок повноцінного функціонування цифрових послуг з видачі лісорубного квитка в електронній формі забезпечено лише з 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D5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 листопада 2023 року, а сертифіката про походження лісоматеріалів – з 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D5D59">
        <w:rPr>
          <w:rFonts w:ascii="Times New Roman" w:eastAsia="Times New Roman" w:hAnsi="Times New Roman" w:cs="Times New Roman"/>
          <w:sz w:val="28"/>
          <w:szCs w:val="28"/>
        </w:rPr>
        <w:t>17 грудня 2023 року.</w:t>
      </w:r>
    </w:p>
    <w:p w14:paraId="2075AD44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Факторами, що вплинули на час реалізації цифрових рішень, є набрання чинності лише з 13 жовтня 2023 р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Міндовкілля від 21.07.2023 № 520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2F14" w:rsidRPr="008D5D59">
        <w:rPr>
          <w:rFonts w:ascii="Times New Roman" w:eastAsia="Times New Roman" w:hAnsi="Times New Roman" w:cs="Times New Roman"/>
          <w:sz w:val="28"/>
          <w:szCs w:val="28"/>
        </w:rPr>
        <w:t>«Про затвердження форм документів, необхідних для реалізації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формі»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в Мін</w:t>
      </w:r>
      <w:r w:rsidR="00CF2F14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юсті 25 серпня 2023 р. за № 1485/40541. </w:t>
      </w:r>
      <w:r w:rsidR="00AA75D8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 визначених вимог до форм документів та переліку інформації (відомостей), що мають міститися в них, унеможливило вчасно забезпечити розробку та початок функціонування цифрових інструментів.</w:t>
      </w:r>
    </w:p>
    <w:p w14:paraId="5D84CA5D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Також наразі є неврегульована законодавча колізія щодо повноважень на видачу лісорубного квитка та сертифіката про походження лісоматеріалів. Через недосконалість законодавства 70% лісорубних квитків виписувалися постійними лісокористувачами в паперовій формі самі собі, що не відповідало Закону України «Про дозвільну систему у сфері господарської діяльності» та створювало умови для корупційних ризиків та унеможливлювало здійснення належного державного контролю за </w:t>
      </w:r>
      <w:r w:rsidR="00AA75D8">
        <w:rPr>
          <w:rFonts w:ascii="Times New Roman" w:eastAsia="Times New Roman" w:hAnsi="Times New Roman" w:cs="Times New Roman"/>
          <w:sz w:val="28"/>
          <w:szCs w:val="28"/>
          <w:lang w:val="uk-UA"/>
        </w:rPr>
        <w:t>заготівлею деревини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54489F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Законодавча ініціатива щодо внесення змін до положень Лісового кодексу України та Закону України «Про особливості державного регулювання діяльності суб'єктів підприємницької діяльності, пов'язаної з реалізацією та експортом лісоматеріалів» з метою встановлення повноважень Держлісагентства на видачу лісорубного квитка та сертифіката про походження лісоматеріалів знаходиться на розгляді Верховної Ради України з урахуванням внесеного та прийнятого за основу проєкту Закону України «Про ринок деревини».</w:t>
      </w:r>
    </w:p>
    <w:p w14:paraId="1E72D8C0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При цьому з січня 2025 року фінансування реалізації експериментального проєкту, що здійснюється за рахунок міжнародної технічної допомоги через офіс USAID в Україні, призупинено відповідно до прийнятого рішення органів влади США.</w:t>
      </w:r>
    </w:p>
    <w:p w14:paraId="36F20130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У випадку завершення строку дії експериментального проєкту 1 червня 2025 року існують ризики невиконання договорів зовнішньоекономічної діяльності, простою транспорту на кордоні та митниці для суб’єктів господарювання, які займаються експортом деревини та окремих виробів з деревини в країни ЄС через неможливість одержання бізнесом сертифікатів про походження лісоматеріалів, а держава понесе іміджеві втрати.</w:t>
      </w:r>
    </w:p>
    <w:p w14:paraId="7D245431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Також є високий ризик того, що суб’єкти господарювання зіткнуться з обмеженням у здійсненні законної лісогосподарської діяльності, проведенні рубок та експорту деревини, що у свою чергу створить умови для збільшення тіньового ринку деревини.</w:t>
      </w:r>
    </w:p>
    <w:p w14:paraId="75BEE01F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 xml:space="preserve">Тому вирішення даного проблемного питання щодо забезпечення видачі таких документів територіальними органами Держлісагентства, до забезпечення законодавчого врегулювання, можливо реалізувати виключно в 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lastRenderedPageBreak/>
        <w:t>межах діючого експериментального проєкту, реалізованих цифрових рішень та встановлення актуального строку проведення</w:t>
      </w:r>
      <w:r w:rsidR="00670C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даного проєкту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A8FD13" w14:textId="77777777" w:rsidR="00AB603E" w:rsidRPr="008D5D59" w:rsidRDefault="00AB603E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Це забезпечить випуск у митний режим експорту лісо- та пиломатеріалів, на підставі сертифікатів про походження лісоматеріалів, отриманих від Держлісагентства, з використанням механізму «єдиного вікна» відповідно до Митного кодексу України.</w:t>
      </w:r>
    </w:p>
    <w:p w14:paraId="0C018677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Описані проблемні питання потенційно можуть мати вплив на всі верстви населення, зокрема основними групами (підгрупами), на які проблема справляє вплив є:</w:t>
      </w:r>
    </w:p>
    <w:p w14:paraId="31903E6D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639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1843"/>
        <w:gridCol w:w="1559"/>
      </w:tblGrid>
      <w:tr w:rsidR="005B7D61" w:rsidRPr="00A94520" w14:paraId="70EA728C" w14:textId="77777777" w:rsidTr="003A379F">
        <w:trPr>
          <w:trHeight w:val="33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7A21C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Групи (підгрупи)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2BCB9" w14:textId="77777777" w:rsidR="005B7D61" w:rsidRPr="00924FDB" w:rsidRDefault="005B7D61" w:rsidP="003A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EFA05" w14:textId="77777777" w:rsidR="005B7D61" w:rsidRPr="00924FDB" w:rsidRDefault="005B7D61" w:rsidP="003A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Ні</w:t>
            </w:r>
          </w:p>
        </w:tc>
      </w:tr>
      <w:tr w:rsidR="005B7D61" w:rsidRPr="00A94520" w14:paraId="6863E474" w14:textId="77777777" w:rsidTr="003A379F">
        <w:trPr>
          <w:trHeight w:val="332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951CD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429DF" w14:textId="77777777" w:rsidR="005B7D61" w:rsidRPr="00924FDB" w:rsidRDefault="0034694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72859" w14:textId="77777777" w:rsidR="005B7D61" w:rsidRPr="00924FDB" w:rsidRDefault="0034694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5B7D61" w:rsidRPr="00A94520" w14:paraId="0841321B" w14:textId="77777777" w:rsidTr="003A379F">
        <w:trPr>
          <w:trHeight w:val="35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01560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0D88B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03014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5B7D61" w:rsidRPr="00A94520" w14:paraId="68089475" w14:textId="77777777" w:rsidTr="003A379F">
        <w:trPr>
          <w:trHeight w:val="348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BEA2F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Суб’єкти господарювання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3E5A3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D92E2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5B7D61" w:rsidRPr="00A94520" w14:paraId="2CC3F279" w14:textId="77777777" w:rsidTr="003A379F">
        <w:trPr>
          <w:trHeight w:val="342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43ABA" w14:textId="77777777" w:rsidR="005B7D61" w:rsidRPr="00924FDB" w:rsidRDefault="005B7D6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суб’єкти малого підприємництва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DAC76" w14:textId="77777777" w:rsidR="005B7D61" w:rsidRPr="00924FDB" w:rsidRDefault="0034694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E223B" w14:textId="77777777" w:rsidR="005B7D61" w:rsidRPr="00924FDB" w:rsidRDefault="0034694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</w:tbl>
    <w:p w14:paraId="7439D8E8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432B06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Врегулювання зазначених проблемних питань не може бути здійснено за допомогою:</w:t>
      </w:r>
    </w:p>
    <w:p w14:paraId="2DD67101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14:paraId="16B9F574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діючих регуляторних актів, оскільки чинним законодавством порушені питання не врегульовані.</w:t>
      </w:r>
    </w:p>
    <w:p w14:paraId="770A1E8E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432F5C" w14:textId="77777777" w:rsidR="005B7D61" w:rsidRPr="008D5D59" w:rsidRDefault="005B7D61" w:rsidP="003A37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II. Цілі державного регулювання</w:t>
      </w:r>
    </w:p>
    <w:p w14:paraId="5E7CCD56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Державне регулювання спрямоване на:</w:t>
      </w:r>
    </w:p>
    <w:p w14:paraId="74DE522D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отримання об’єктивної інформації щодо доцільності в майбутньому надання дозвільних документів у сфері лісового господарства в електронній формі;</w:t>
      </w:r>
    </w:p>
    <w:p w14:paraId="100384CF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покращення якості видачі дозвільних документів у сфері лісового господарства;</w:t>
      </w:r>
    </w:p>
    <w:p w14:paraId="720AA16F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зниження корупційних ризиків при видачі дозвільних документів у сфері лісового господарства;</w:t>
      </w:r>
    </w:p>
    <w:p w14:paraId="1CE00DEC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забезпечення публічності видачі таких документів;</w:t>
      </w:r>
    </w:p>
    <w:p w14:paraId="5A82CE1B" w14:textId="77777777" w:rsidR="005B7D61" w:rsidRPr="008D5D59" w:rsidRDefault="005B7D61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зменшення фінансового навантаження на суб’єктів господарювання.</w:t>
      </w:r>
    </w:p>
    <w:p w14:paraId="6729C490" w14:textId="77777777" w:rsidR="005B7D61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66B196" w14:textId="77777777" w:rsidR="005B7D61" w:rsidRPr="008D5D59" w:rsidRDefault="005B7D61" w:rsidP="00924F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III. Визначення та оцінка альтернативних способів досягнення цілей</w:t>
      </w:r>
    </w:p>
    <w:p w14:paraId="26B7A933" w14:textId="77777777" w:rsidR="003A379F" w:rsidRDefault="003A379F" w:rsidP="003A379F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E2DDF8" w14:textId="77777777" w:rsidR="005B7D61" w:rsidRPr="008D5D59" w:rsidRDefault="005B7D61" w:rsidP="008D5D59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 альтернативних способів</w:t>
      </w:r>
    </w:p>
    <w:p w14:paraId="106A6823" w14:textId="77777777" w:rsidR="002C7550" w:rsidRPr="008D5D59" w:rsidRDefault="002C7550" w:rsidP="008D5D5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7371"/>
      </w:tblGrid>
      <w:tr w:rsidR="006F0EC9" w:rsidRPr="00A94520" w14:paraId="5B1B01A7" w14:textId="77777777" w:rsidTr="003A379F">
        <w:trPr>
          <w:trHeight w:val="58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29AFB3" w14:textId="77777777" w:rsidR="005B7D61" w:rsidRPr="003A379F" w:rsidRDefault="005B7D61" w:rsidP="003A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Вид альтернативи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64D95" w14:textId="77777777" w:rsidR="005B7D61" w:rsidRPr="003A379F" w:rsidRDefault="005B7D61" w:rsidP="003A3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Опис альтернативи</w:t>
            </w:r>
          </w:p>
        </w:tc>
      </w:tr>
      <w:tr w:rsidR="006F0EC9" w:rsidRPr="00A94520" w14:paraId="2697D704" w14:textId="77777777" w:rsidTr="003A379F">
        <w:trPr>
          <w:trHeight w:val="3351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B4A2C" w14:textId="77777777" w:rsidR="00A80DBA" w:rsidRPr="00A94520" w:rsidRDefault="00A80DBA" w:rsidP="003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>Альтернатива 1 –</w:t>
            </w:r>
          </w:p>
          <w:p w14:paraId="4FF9400B" w14:textId="77777777" w:rsidR="005B7D61" w:rsidRPr="003A379F" w:rsidRDefault="00A80DBA" w:rsidP="003A37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A94520">
              <w:rPr>
                <w:rFonts w:ascii="Times New Roman" w:hAnsi="Times New Roman"/>
                <w:sz w:val="24"/>
                <w:szCs w:val="24"/>
                <w:lang w:eastAsia="ru-RU"/>
              </w:rPr>
              <w:t>береження status quo</w:t>
            </w:r>
            <w:r w:rsidR="00EE3625" w:rsidRPr="00A945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AB978" w14:textId="77777777" w:rsidR="005B7D61" w:rsidRPr="003A379F" w:rsidRDefault="00287A69" w:rsidP="003A379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льтернатива не дозволить досягти цілей державного регулювання, спрямованих на забезпечення:</w:t>
            </w:r>
          </w:p>
          <w:p w14:paraId="2449F169" w14:textId="77777777" w:rsidR="005B7D61" w:rsidRPr="003A379F" w:rsidRDefault="005B7D61" w:rsidP="003A379F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отримання об’єктивної інформації щодо доцільності в майбутньому надання дозвільних документів у сфері лісового господарства в електронній формі;</w:t>
            </w:r>
          </w:p>
          <w:p w14:paraId="43BF0131" w14:textId="77777777" w:rsidR="005B7D61" w:rsidRPr="003A379F" w:rsidRDefault="005B7D61" w:rsidP="003A379F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якості видачі дозвільних документів у сфері лісового господарства;</w:t>
            </w:r>
          </w:p>
          <w:p w14:paraId="119D898C" w14:textId="77777777" w:rsidR="005B7D61" w:rsidRPr="003A379F" w:rsidRDefault="005B7D61" w:rsidP="003A379F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зниження корупційних ризиків при видачі дозвільних документів у сфері лісового господарства;</w:t>
            </w:r>
          </w:p>
          <w:p w14:paraId="63B2840B" w14:textId="77777777" w:rsidR="005B7D61" w:rsidRPr="003A379F" w:rsidRDefault="005B7D61" w:rsidP="003A379F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публічності видачі таких документів;</w:t>
            </w:r>
          </w:p>
          <w:p w14:paraId="52807F13" w14:textId="77777777" w:rsidR="005B7D61" w:rsidRPr="003A379F" w:rsidRDefault="005B7D61" w:rsidP="003A379F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зменшення фінансового навантаження на суб’єктів господарювання.</w:t>
            </w:r>
          </w:p>
        </w:tc>
      </w:tr>
      <w:tr w:rsidR="006F0EC9" w:rsidRPr="00A94520" w14:paraId="6E68216D" w14:textId="77777777" w:rsidTr="003A379F">
        <w:trPr>
          <w:trHeight w:val="5319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08980" w14:textId="77777777" w:rsidR="002336DD" w:rsidRPr="00A94520" w:rsidRDefault="002336DD" w:rsidP="0065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>Альтернатива 2 –</w:t>
            </w:r>
          </w:p>
          <w:p w14:paraId="3D47AD32" w14:textId="77777777" w:rsidR="005B7D61" w:rsidRPr="003A379F" w:rsidRDefault="002336DD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 xml:space="preserve">прийняття </w:t>
            </w:r>
            <w:r w:rsidR="00F5238A" w:rsidRPr="00A9452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>ро</w:t>
            </w:r>
            <w:r w:rsidR="00F5238A" w:rsidRPr="00A94520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>кту акта</w:t>
            </w:r>
            <w:r w:rsidR="00EE3625" w:rsidRPr="00A9452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C2BC3" w14:textId="77777777" w:rsidR="005B7D61" w:rsidRPr="003A379F" w:rsidRDefault="000A190F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льтернативою передбачається встановити </w:t>
            </w:r>
            <w:r w:rsidR="00655F3A" w:rsidRPr="00655F3A">
              <w:rPr>
                <w:rFonts w:ascii="Times New Roman" w:eastAsia="Times New Roman" w:hAnsi="Times New Roman"/>
                <w:sz w:val="24"/>
                <w:szCs w:val="24"/>
              </w:rPr>
              <w:t>актуальн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ий</w:t>
            </w:r>
            <w:r w:rsidR="00655F3A" w:rsidRPr="00655F3A">
              <w:rPr>
                <w:rFonts w:ascii="Times New Roman" w:eastAsia="Times New Roman" w:hAnsi="Times New Roman"/>
                <w:sz w:val="24"/>
                <w:szCs w:val="24"/>
              </w:rPr>
              <w:t xml:space="preserve"> строк проведення експериментального проєкту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(з 17 листопада 2023 року по 17 листопада 2025 року), яким передбачено</w:t>
            </w:r>
            <w:r w:rsidR="00655F3A" w:rsidRPr="00655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електронний порядок видачі 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лісорубних квитків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сертифікатів про походження лісоматеріалів (далі 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дозвільних документів) через Єдиний державний вебпортал електронних послуг «Дія</w:t>
            </w:r>
            <w:r w:rsidR="005B7D61" w:rsidRPr="003A3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(далі - електронна система) з подальшим відображенням інформації на Єдиній екологічній платформі «ЕкоСистема</w:t>
            </w:r>
            <w:r w:rsidR="005B7D61" w:rsidRPr="003A3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="005B7D61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0B78E17" w14:textId="77777777" w:rsidR="005B7D61" w:rsidRPr="003A379F" w:rsidRDefault="005B7D61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відповідатиме вимогам Указу Президента №837/2019 «Про невідкладні заходи з проведення реформ та зміцнення держави</w:t>
            </w:r>
            <w:r w:rsidRPr="003A3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пункту 2 розділу ІІ Прикінцевих положень Закону України</w:t>
            </w:r>
            <w:r w:rsidR="00EE3625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2362-VIII від 22.03.2018 «Про внесення змін до деяких законів України щодо повноважень в галузі охорони навколишнього природного середовища».</w:t>
            </w:r>
          </w:p>
          <w:p w14:paraId="6CD2CF50" w14:textId="77777777" w:rsidR="005B7D61" w:rsidRPr="003A379F" w:rsidRDefault="005B7D61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Отже, даною альтернативою передбачається </w:t>
            </w:r>
            <w:r w:rsidR="00655F3A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встанов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лення</w:t>
            </w:r>
            <w:r w:rsidR="00655F3A"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55F3A" w:rsidRPr="00655F3A">
              <w:rPr>
                <w:rFonts w:ascii="Times New Roman" w:eastAsia="Times New Roman" w:hAnsi="Times New Roman"/>
                <w:sz w:val="24"/>
                <w:szCs w:val="24"/>
              </w:rPr>
              <w:t>актуальн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ого</w:t>
            </w:r>
            <w:r w:rsidR="00655F3A" w:rsidRPr="00655F3A">
              <w:rPr>
                <w:rFonts w:ascii="Times New Roman" w:eastAsia="Times New Roman" w:hAnsi="Times New Roman"/>
                <w:sz w:val="24"/>
                <w:szCs w:val="24"/>
              </w:rPr>
              <w:t xml:space="preserve"> строк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="00655F3A" w:rsidRPr="00655F3A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проведення експериментального проєкту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(з 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br/>
              <w:t xml:space="preserve">17 листопада 2023 року по 17 листопада 2025 року), відповідно до якого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створення, перегляд, надіслання, прийняття, збирання, внесення, накопичення, обробка, використання, розгляд, зберігання, захист, облік та видача дозвільних документів у сфері лісового господарства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здійснюється у цифровому форматі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а також </w:t>
            </w:r>
            <w:r w:rsid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запроваджена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електронна взаємодія між суб’єктами господарювання та державними органами, під час видачі дозвільних документів у сфері лісового господарства.</w:t>
            </w:r>
          </w:p>
        </w:tc>
      </w:tr>
    </w:tbl>
    <w:p w14:paraId="2BD74C0F" w14:textId="77777777" w:rsidR="0012644B" w:rsidRPr="008D5D59" w:rsidRDefault="0012644B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8D9FDB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3D3A8E8B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>Оцінка впливу на сферу інтересів держави</w:t>
      </w:r>
    </w:p>
    <w:p w14:paraId="0A7B3940" w14:textId="77777777" w:rsidR="0012644B" w:rsidRDefault="0012644B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5282"/>
        <w:gridCol w:w="2372"/>
      </w:tblGrid>
      <w:tr w:rsidR="00A00DDD" w:rsidRPr="00A94520" w14:paraId="3839304C" w14:textId="77777777" w:rsidTr="00924FDB">
        <w:trPr>
          <w:trHeight w:val="36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4FFC0E" w14:textId="77777777" w:rsidR="005B7D61" w:rsidRPr="00655F3A" w:rsidRDefault="005B7D61" w:rsidP="0065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857A93" w14:textId="77777777" w:rsidR="005B7D61" w:rsidRPr="00655F3A" w:rsidRDefault="005B7D61" w:rsidP="0065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C6345" w14:textId="77777777" w:rsidR="005B7D61" w:rsidRPr="00655F3A" w:rsidRDefault="005B7D61" w:rsidP="0065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A00DDD" w:rsidRPr="00346941" w14:paraId="1D6A746F" w14:textId="77777777" w:rsidTr="00924FDB">
        <w:trPr>
          <w:trHeight w:val="788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EB279" w14:textId="77777777" w:rsidR="005B7D61" w:rsidRPr="00655F3A" w:rsidRDefault="005B7D61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1</w:t>
            </w:r>
            <w:r w:rsidR="0057130B" w:rsidRP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17DC9" w14:textId="77777777" w:rsidR="005B7D61" w:rsidRPr="00655F3A" w:rsidRDefault="00346941" w:rsidP="0034694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Після 1 червня 2025 року дозвільні документи будуть видаватися у паперовій формі. Переважна більшість лісорубних квитків видаватиметься постійними лісокористувачами самими собі.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</w:t>
            </w:r>
            <w:r w:rsidR="00A440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більша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ться корупційні ризики при </w:t>
            </w:r>
            <w:r w:rsidR="00A440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видачі дозвільних документів. Зменшиться рівень публічності при видачі дозвільних документів. Ускладниться збір інформації про видані дозвільні документи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359D7" w14:textId="77777777" w:rsidR="005B7D61" w:rsidRPr="00655F3A" w:rsidRDefault="005B7D61" w:rsidP="00924FDB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 межах бюджетних асигнувань</w:t>
            </w:r>
            <w:r w:rsidR="00D5404D" w:rsidRP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00DDD" w:rsidRPr="00A94520" w14:paraId="6E45463A" w14:textId="77777777" w:rsidTr="00924FDB">
        <w:trPr>
          <w:trHeight w:val="101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18C4F" w14:textId="77777777" w:rsidR="005B7D61" w:rsidRPr="00655F3A" w:rsidRDefault="005B7D61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2.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07F34" w14:textId="77777777" w:rsidR="005B7D61" w:rsidRPr="00655F3A" w:rsidRDefault="005B7D61" w:rsidP="00655F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F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Отримання об’єктивної інформації щодо доцільності в майбутньому надання дозвільних документів у сфері лісового господарства в електронній формі.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CB2D4" w14:textId="77777777" w:rsidR="00A440C6" w:rsidRDefault="00A440C6" w:rsidP="00A440C6">
            <w:pPr>
              <w:spacing w:after="0" w:line="240" w:lineRule="auto"/>
              <w:ind w:left="4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 видачі дозвільних документів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сфері лісового господарства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цифровому форматі:</w:t>
            </w:r>
          </w:p>
          <w:p w14:paraId="23F526B0" w14:textId="77777777" w:rsidR="00A440C6" w:rsidRDefault="00A440C6" w:rsidP="00A440C6">
            <w:pPr>
              <w:spacing w:after="0" w:line="240" w:lineRule="auto"/>
              <w:ind w:left="4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окращ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иться якість їх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видачі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0EDA0635" w14:textId="77777777" w:rsidR="00A440C6" w:rsidRDefault="00A440C6" w:rsidP="00A440C6">
            <w:pPr>
              <w:spacing w:after="0" w:line="240" w:lineRule="auto"/>
              <w:ind w:left="4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зменшиться рівень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корупційних ризиків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їх 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видачі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5D2CD1AE" w14:textId="77777777" w:rsidR="00A440C6" w:rsidRPr="003A379F" w:rsidRDefault="00A440C6" w:rsidP="00A440C6">
            <w:pPr>
              <w:spacing w:after="0" w:line="240" w:lineRule="auto"/>
              <w:ind w:left="4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буде з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абезпечен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публічн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ість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видачі таких документів;</w:t>
            </w:r>
          </w:p>
          <w:p w14:paraId="1B74E36B" w14:textId="77777777" w:rsidR="005B7D61" w:rsidRPr="00655F3A" w:rsidRDefault="00A440C6" w:rsidP="00A440C6">
            <w:pPr>
              <w:spacing w:after="0" w:line="240" w:lineRule="auto"/>
              <w:ind w:left="4" w:firstLine="28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зменш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иться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фінансов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A37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навантаження на суб’єктів господарювання.</w:t>
            </w:r>
          </w:p>
        </w:tc>
      </w:tr>
    </w:tbl>
    <w:p w14:paraId="72A40E69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C9CF5A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4B247740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1025"/>
        <w:gridCol w:w="1276"/>
        <w:gridCol w:w="1173"/>
        <w:gridCol w:w="1146"/>
        <w:gridCol w:w="908"/>
      </w:tblGrid>
      <w:tr w:rsidR="008D37B3" w:rsidRPr="00A94520" w14:paraId="6336554C" w14:textId="77777777" w:rsidTr="008D37B3">
        <w:trPr>
          <w:trHeight w:val="411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FFBDFF" w14:textId="77777777" w:rsidR="005B7D61" w:rsidRPr="008D37B3" w:rsidRDefault="005B7D61" w:rsidP="008D37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28C11D" w14:textId="77777777" w:rsidR="005B7D61" w:rsidRPr="008D37B3" w:rsidRDefault="005B7D61" w:rsidP="008D37B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Великі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8581CC" w14:textId="77777777" w:rsidR="005B7D61" w:rsidRPr="008D37B3" w:rsidRDefault="005B7D61" w:rsidP="008D37B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Середні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D17083" w14:textId="77777777" w:rsidR="005B7D61" w:rsidRPr="008D37B3" w:rsidRDefault="005B7D61" w:rsidP="008D37B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Малі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D61FBE" w14:textId="77777777" w:rsidR="005B7D61" w:rsidRPr="008D37B3" w:rsidRDefault="005B7D61" w:rsidP="008D37B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Мікро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8C80D0" w14:textId="77777777" w:rsidR="005B7D61" w:rsidRPr="008D37B3" w:rsidRDefault="005B7D61" w:rsidP="008D37B3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8D37B3" w:rsidRPr="00A94520" w14:paraId="1BB2CBC8" w14:textId="77777777" w:rsidTr="008D37B3">
        <w:trPr>
          <w:trHeight w:val="1118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3251F" w14:textId="77777777" w:rsidR="002E2EA5" w:rsidRPr="008D37B3" w:rsidRDefault="002E2EA5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>Кількість суб’єктів господарювання</w:t>
            </w: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(власники лісів, постійні лісокористувачі)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>, що підпадають під дію регулювання, одиниць</w:t>
            </w:r>
            <w:r w:rsidR="0057130B" w:rsidRPr="00A9452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3DEF0" w14:textId="77777777" w:rsidR="002E2EA5" w:rsidRPr="008D37B3" w:rsidRDefault="002E2EA5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CA4BB" w14:textId="77777777" w:rsidR="002E2EA5" w:rsidRPr="008D37B3" w:rsidRDefault="002E2EA5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506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F88A67" w14:textId="77777777" w:rsidR="002E2EA5" w:rsidRPr="008D37B3" w:rsidRDefault="002E2EA5" w:rsidP="008D37B3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E25D8B" w14:textId="77777777" w:rsidR="002E2EA5" w:rsidRPr="008D37B3" w:rsidRDefault="002E2EA5" w:rsidP="008D37B3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>відсутні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2B8C51" w14:textId="77777777" w:rsidR="002E2EA5" w:rsidRPr="008D37B3" w:rsidRDefault="002E2EA5" w:rsidP="008D37B3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507</w:t>
            </w:r>
          </w:p>
        </w:tc>
      </w:tr>
      <w:tr w:rsidR="008D37B3" w:rsidRPr="00A94520" w14:paraId="0FA265D4" w14:textId="77777777" w:rsidTr="008D37B3">
        <w:trPr>
          <w:trHeight w:val="626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06EA8" w14:textId="77777777" w:rsidR="002D0B79" w:rsidRPr="008D37B3" w:rsidRDefault="002D0B79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Питома вага групи у загальній кількості, відсотків</w:t>
            </w:r>
            <w:r w:rsidR="0057130B"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E1E2F3" w14:textId="77777777" w:rsidR="002D0B79" w:rsidRPr="008D37B3" w:rsidRDefault="002D0B79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CC356F" w14:textId="77777777" w:rsidR="002D0B79" w:rsidRPr="008D37B3" w:rsidRDefault="002D0B79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99,8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2A9CCC" w14:textId="77777777" w:rsidR="002D0B79" w:rsidRPr="008D37B3" w:rsidRDefault="002D0B79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CDFDCC" w14:textId="77777777" w:rsidR="002D0B79" w:rsidRPr="008D37B3" w:rsidRDefault="002D0B79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8E6416" w14:textId="77777777" w:rsidR="002D0B79" w:rsidRPr="008D37B3" w:rsidRDefault="002D0B79" w:rsidP="008D37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45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4293494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536"/>
        <w:gridCol w:w="3269"/>
      </w:tblGrid>
      <w:tr w:rsidR="00D06986" w:rsidRPr="00A94520" w14:paraId="095D632E" w14:textId="77777777" w:rsidTr="008D37B3">
        <w:trPr>
          <w:trHeight w:val="431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D3054F" w14:textId="77777777" w:rsidR="005B7D61" w:rsidRPr="008D37B3" w:rsidRDefault="005B7D61" w:rsidP="008D37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7F5EA0" w14:textId="77777777" w:rsidR="005B7D61" w:rsidRPr="008D37B3" w:rsidRDefault="005B7D61" w:rsidP="008D37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5DD911" w14:textId="77777777" w:rsidR="005B7D61" w:rsidRPr="008D37B3" w:rsidRDefault="005B7D61" w:rsidP="008D37B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D06986" w:rsidRPr="00A94520" w14:paraId="6EBF56F2" w14:textId="77777777" w:rsidTr="008D37B3">
        <w:trPr>
          <w:trHeight w:val="938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94E1" w14:textId="77777777" w:rsidR="005B7D61" w:rsidRPr="008D37B3" w:rsidRDefault="005B7D61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1</w:t>
            </w:r>
            <w:r w:rsidR="0057130B"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66C49" w14:textId="77777777" w:rsidR="005B7D61" w:rsidRPr="00431CAF" w:rsidRDefault="00D409F8" w:rsidP="00431CA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Після 1 червня 2025 року переважна більшість лісорубних квитків буде видаватися у паперовій формі. постійними лісокористувачами самими собі. Зменшиться рівень публічності при видачі дозвільних документів. Ускладниться збір інформації про видані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дозвільні документи</w:t>
            </w:r>
            <w:r w:rsidR="00431C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Постійний лісокористувач матиме мож</w:t>
            </w:r>
            <w:r w:rsidR="00431CAF" w:rsidRPr="00431C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ливість змінювати дані на власний розсуд, підроблювати дозвільні документи та недобросовісно приховувати незаконне використання лісових ресурсів</w:t>
            </w:r>
            <w:r w:rsidR="00431CA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4D941" w14:textId="77777777" w:rsidR="005B7D61" w:rsidRPr="008D37B3" w:rsidRDefault="00D06986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На отримання дозвільних документів у сфері лісового господарства в паперовій формі.</w:t>
            </w:r>
          </w:p>
        </w:tc>
      </w:tr>
      <w:tr w:rsidR="00D06986" w:rsidRPr="00A94520" w14:paraId="0335D96E" w14:textId="77777777" w:rsidTr="008D37B3">
        <w:trPr>
          <w:trHeight w:val="3991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774EE" w14:textId="77777777" w:rsidR="005B7D61" w:rsidRPr="008D37B3" w:rsidRDefault="005B7D61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DA168" w14:textId="77777777" w:rsidR="005B7D61" w:rsidRPr="008D37B3" w:rsidRDefault="005B7D61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Покращення якості видачі дозвільних документів у сфері лісового </w:t>
            </w:r>
            <w:r w:rsid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господарства.</w:t>
            </w:r>
          </w:p>
          <w:p w14:paraId="2DB5EF8B" w14:textId="77777777" w:rsidR="005B7D61" w:rsidRPr="008D37B3" w:rsidRDefault="005B7D61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Зниження корупційних ризиків при наданні дозвільних документі</w:t>
            </w:r>
            <w:r w:rsid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у сфері лісового господарства.</w:t>
            </w:r>
          </w:p>
          <w:p w14:paraId="37B37C64" w14:textId="77777777" w:rsidR="005B7D61" w:rsidRPr="008D37B3" w:rsidRDefault="008D37B3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5B7D61"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тримання дозвільних документів у сфері лісового господарства засобами Єдиного державного вебпорталу електронних послуг «Дія» з подальшим відображенням інформації на Єдиній еко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логічній платформі «ЕкоСистема».</w:t>
            </w:r>
          </w:p>
          <w:p w14:paraId="7BB7DA72" w14:textId="77777777" w:rsidR="005B7D61" w:rsidRPr="008D37B3" w:rsidRDefault="008D37B3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="005B7D61"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ншення фінансового навантаження.</w:t>
            </w:r>
          </w:p>
          <w:p w14:paraId="57444A9D" w14:textId="77777777" w:rsidR="005B7D61" w:rsidRPr="008D37B3" w:rsidRDefault="008D37B3" w:rsidP="008D37B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5B7D61"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ожливість направлення вивільнених коштів на розвиток господарства.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F44F8" w14:textId="77777777" w:rsidR="005B7D61" w:rsidRPr="008D37B3" w:rsidRDefault="00431CAF" w:rsidP="00431CA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идач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D37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дозвільних документів у сфері лісового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господарства у цифровому форматі призведе до підвищення якості  отриманих послуг, зменшить фінансові витрати на придбання паперових бланків лісорубних квитків</w:t>
            </w: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14:paraId="43E303D6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170F65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IV. Вибір найбільш оптимального альтернативного способу досягнення цілей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434"/>
        <w:gridCol w:w="3228"/>
      </w:tblGrid>
      <w:tr w:rsidR="005B7D61" w:rsidRPr="00A94520" w14:paraId="6905BC3A" w14:textId="77777777" w:rsidTr="005458AE">
        <w:trPr>
          <w:trHeight w:val="1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680B0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3C876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Бал результативності</w:t>
            </w:r>
          </w:p>
          <w:p w14:paraId="32DE3F9E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(за чотирибальною системою оцінки)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3B67B1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Коментарі щодо присвоєння відповідного бала</w:t>
            </w:r>
          </w:p>
        </w:tc>
      </w:tr>
      <w:tr w:rsidR="005B7D61" w:rsidRPr="00A94520" w14:paraId="624338A8" w14:textId="77777777" w:rsidTr="002879E7">
        <w:trPr>
          <w:trHeight w:val="13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EF7D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1</w:t>
            </w:r>
            <w:r w:rsidR="0057130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4FE6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</w:t>
            </w: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цілі прийняття регуляторного акта не можуть бути досягнуті (проблема продовжує існувати)</w:t>
            </w:r>
            <w:r w:rsidR="00A74A1C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7FAF3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забезпечує досягнення цілей державного регулювання. Залишаються проблеми зазначені у Розділі І цього аналізу</w:t>
            </w:r>
            <w:r w:rsidR="00A74A1C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7D61" w:rsidRPr="00A94520" w14:paraId="6963444B" w14:textId="77777777" w:rsidTr="002879E7">
        <w:trPr>
          <w:trHeight w:val="1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172F3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2</w:t>
            </w:r>
            <w:r w:rsidR="0057130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3C007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</w:t>
            </w: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цілі прийняття регуляторного акта можуть бути досягнуті повною мірою (проблема більше існувати не буде)</w:t>
            </w:r>
            <w:r w:rsidR="00A74A1C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A87A9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Забезпечує в повній мірі досягнення цілей державного регулювання. Проблема більше не існуватиме.</w:t>
            </w:r>
          </w:p>
        </w:tc>
      </w:tr>
    </w:tbl>
    <w:p w14:paraId="203FF2A6" w14:textId="77777777" w:rsidR="00C44564" w:rsidRDefault="00C44564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049"/>
        <w:gridCol w:w="1852"/>
        <w:gridCol w:w="2576"/>
      </w:tblGrid>
      <w:tr w:rsidR="00431CAF" w:rsidRPr="00A94520" w14:paraId="036D1EFA" w14:textId="77777777" w:rsidTr="00924FDB">
        <w:trPr>
          <w:trHeight w:val="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C9861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Рейтинг результативності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7EA56B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Вигоди (підсумок)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9CCE18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Витрати (підсумок)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9B287D" w14:textId="77777777" w:rsidR="005B7D61" w:rsidRPr="002879E7" w:rsidRDefault="005B7D61" w:rsidP="002879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431CAF" w:rsidRPr="00A94520" w14:paraId="6A5C270C" w14:textId="77777777" w:rsidTr="00924FDB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A0EF3" w14:textId="77777777" w:rsidR="005B7D61" w:rsidRPr="002879E7" w:rsidRDefault="005B7D61" w:rsidP="002879E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1</w:t>
            </w:r>
            <w:r w:rsidR="0057130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C479D" w14:textId="77777777" w:rsidR="005B7D61" w:rsidRPr="002879E7" w:rsidRDefault="005B7D61" w:rsidP="00924F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разі залишення існуючої на даний момент ситуації без </w:t>
            </w:r>
            <w:r w:rsidR="00924FD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змін, вигоди для держави,</w:t>
            </w:r>
            <w:r w:rsid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24FD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громадян та суб’єктів</w:t>
            </w:r>
            <w:r w:rsid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24FD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господарювання відсутні.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40284" w14:textId="77777777" w:rsidR="005B7D61" w:rsidRPr="002879E7" w:rsidRDefault="005B7D61" w:rsidP="00924F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 межах бюджетних </w:t>
            </w:r>
            <w:r w:rsidR="00924FD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асигнувань.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14970" w14:textId="77777777" w:rsidR="00924FDB" w:rsidRPr="002879E7" w:rsidRDefault="005B7D61" w:rsidP="00924FDB">
            <w:pPr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Не забезпечує досягнення цілей </w:t>
            </w:r>
            <w:r w:rsidR="00924FD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державного</w:t>
            </w:r>
            <w:r w:rsidR="00924F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24FDB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регулювання.</w:t>
            </w:r>
          </w:p>
          <w:p w14:paraId="4D8B0C1A" w14:textId="77777777" w:rsidR="005B7D61" w:rsidRPr="002879E7" w:rsidRDefault="00924FDB" w:rsidP="00924F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Призведе 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зокрема, </w:t>
            </w: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порушення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 суб’єктів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26052" w:rsidRPr="002879E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господарювання в частині реалізації ними права на відкрите та прозоре регулювання.</w:t>
            </w:r>
          </w:p>
        </w:tc>
      </w:tr>
      <w:tr w:rsidR="00431CAF" w:rsidRPr="00431CAF" w14:paraId="4479DF99" w14:textId="77777777" w:rsidTr="00D80230">
        <w:trPr>
          <w:trHeight w:val="15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DCE3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Альтернатива 2</w:t>
            </w:r>
            <w:r w:rsidR="0057130B"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CF06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Для держави:</w:t>
            </w:r>
          </w:p>
          <w:p w14:paraId="4E42FC02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удосконалення порядку видачі дозвільних документів в сфері лісового господарства;</w:t>
            </w:r>
          </w:p>
          <w:p w14:paraId="7ACAC8F7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сприятиме підвищенню позицій України у Рейтингу «Doing Business»;</w:t>
            </w:r>
          </w:p>
          <w:p w14:paraId="508CAFAE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інвестиційного клімату.</w:t>
            </w:r>
          </w:p>
          <w:p w14:paraId="403C7B1B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Для суб’єктів господарювання:</w:t>
            </w:r>
          </w:p>
          <w:p w14:paraId="6B4B8CED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якості отримання дозвільних документів у сфері лісового господарства;</w:t>
            </w:r>
          </w:p>
          <w:p w14:paraId="4C6A634C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зниження корупційних ризиків отримання дозвільних документів у сфері лісового господарства;</w:t>
            </w:r>
          </w:p>
          <w:p w14:paraId="2870368C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отримання дозвільних документів у сфері лісового господарства засобами Єдиного державного вебпорталу електронних послуг «Дія» з подальшим відображенням інформації на Єдиній екологічній платформі «ЕкоСистема»</w:t>
            </w:r>
            <w:r w:rsidR="00840E94"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96DD3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прогнозуються додаткові витрати</w:t>
            </w:r>
            <w:r w:rsidR="00A74A1C"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1B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7371B" w14:textId="77777777" w:rsidR="005B7D61" w:rsidRPr="001B0194" w:rsidRDefault="005B7D61" w:rsidP="00431CA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Забезпечує досягнення цілей державного регулювання</w:t>
            </w:r>
          </w:p>
        </w:tc>
      </w:tr>
    </w:tbl>
    <w:p w14:paraId="1283D3CA" w14:textId="77777777" w:rsidR="007109BD" w:rsidRDefault="007109BD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60B2BD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>Рейтинги</w:t>
      </w: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395"/>
        <w:gridCol w:w="3401"/>
      </w:tblGrid>
      <w:tr w:rsidR="005B7D61" w:rsidRPr="00A94520" w14:paraId="255C564C" w14:textId="77777777" w:rsidTr="001B0194">
        <w:trPr>
          <w:trHeight w:val="124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B5EC01" w14:textId="77777777" w:rsidR="005B7D61" w:rsidRPr="001B0194" w:rsidRDefault="005B7D61" w:rsidP="001B01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Рейтинг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2BB90F" w14:textId="77777777" w:rsidR="005B7D61" w:rsidRPr="001B0194" w:rsidRDefault="005B7D61" w:rsidP="001B01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72DFF" w14:textId="77777777" w:rsidR="005B7D61" w:rsidRPr="001B0194" w:rsidRDefault="005B7D61" w:rsidP="001B01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5B7D61" w:rsidRPr="00A94520" w14:paraId="0A9F22D7" w14:textId="77777777" w:rsidTr="00924FDB">
        <w:trPr>
          <w:trHeight w:val="87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76019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Альтернатива 1</w:t>
            </w:r>
            <w:r w:rsidR="0057130B"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E8BA7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забезпечує досягнення цілей державного регулювання.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06714" w14:textId="77777777" w:rsidR="005B7D61" w:rsidRPr="001B0194" w:rsidRDefault="005B7D61" w:rsidP="00A5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Вплив зовнішніх чинників на дію регуляторного акта у разі його прийняття </w:t>
            </w:r>
            <w:r w:rsidR="00A511B3" w:rsidRPr="004F20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 w:rsidR="00A511B3" w:rsidRPr="004F206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передбачається</w:t>
            </w: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7D61" w:rsidRPr="00A94520" w14:paraId="0AC05A75" w14:textId="77777777" w:rsidTr="001B0194">
        <w:trPr>
          <w:trHeight w:val="589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84AE7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Альтернатива 2</w:t>
            </w:r>
            <w:r w:rsidR="0057130B"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E4D9E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Забезпечує досягнення цілей державного регулювання, оскільки дозволить отримати об’єктивну інформацію щодо доцільності в майбутньому надання дозвільних документів у сфері лісового господарства в електронній формі;</w:t>
            </w:r>
          </w:p>
          <w:p w14:paraId="26648E1A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встановити зрозуміле та прозоре для суб’єктів господарювання та органів, які реалізують державну політику у сфері лісового господарства регулювання;</w:t>
            </w:r>
          </w:p>
          <w:p w14:paraId="7AAC3DE7" w14:textId="77777777" w:rsidR="005B7D61" w:rsidRPr="001B0194" w:rsidRDefault="005B7D61" w:rsidP="001B019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Унеможливить суб’єктивне застосування регуляторних вимог.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FCB8B" w14:textId="77777777" w:rsidR="005B7D61" w:rsidRPr="001B0194" w:rsidRDefault="005B7D61" w:rsidP="00A5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0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Вплив зовнішніх чинників на дію регуляторного акта у разі його прийняття </w:t>
            </w:r>
            <w:r w:rsidR="00A511B3" w:rsidRPr="004F206A">
              <w:rPr>
                <w:rFonts w:ascii="Times New Roman" w:hAnsi="Times New Roman"/>
                <w:sz w:val="24"/>
                <w:szCs w:val="24"/>
                <w:lang w:eastAsia="uk-UA"/>
              </w:rPr>
              <w:t>не передбачається</w:t>
            </w:r>
            <w:r w:rsidR="00A511B3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105AEE82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7CA6F4" w14:textId="77777777" w:rsidR="005B7D61" w:rsidRPr="008D5D59" w:rsidRDefault="005B7D61" w:rsidP="001B0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V. Механізми та заходи, які забезпечать розв’язання визначеної проблеми</w:t>
      </w:r>
    </w:p>
    <w:p w14:paraId="481D9B2F" w14:textId="77777777" w:rsidR="007637C4" w:rsidRDefault="007637C4" w:rsidP="00763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1F1F"/>
          <w:sz w:val="28"/>
          <w:szCs w:val="28"/>
          <w:lang w:val="uk-UA" w:eastAsia="ru-RU"/>
        </w:rPr>
      </w:pPr>
      <w:r w:rsidRPr="004F206A">
        <w:rPr>
          <w:rFonts w:ascii="Times New Roman" w:hAnsi="Times New Roman"/>
          <w:color w:val="211F1F"/>
          <w:sz w:val="28"/>
          <w:szCs w:val="28"/>
          <w:lang w:val="uk-UA" w:eastAsia="ru-RU"/>
        </w:rPr>
        <w:t xml:space="preserve">Прийняття Проєкту </w:t>
      </w:r>
      <w:r w:rsidRPr="005471DB">
        <w:rPr>
          <w:rFonts w:ascii="Times New Roman" w:hAnsi="Times New Roman"/>
          <w:color w:val="211F1F"/>
          <w:sz w:val="28"/>
          <w:szCs w:val="28"/>
          <w:lang w:val="uk-UA" w:eastAsia="ru-RU"/>
        </w:rPr>
        <w:t>дозволить</w:t>
      </w:r>
      <w:r>
        <w:rPr>
          <w:rFonts w:ascii="Times New Roman" w:hAnsi="Times New Roman"/>
          <w:color w:val="211F1F"/>
          <w:sz w:val="28"/>
          <w:szCs w:val="28"/>
          <w:lang w:val="uk-UA" w:eastAsia="ru-RU"/>
        </w:rPr>
        <w:t>:</w:t>
      </w:r>
    </w:p>
    <w:p w14:paraId="32D72AEC" w14:textId="77777777" w:rsidR="00436BA8" w:rsidRP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удосконал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поряд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к видачі дозвільних документів в сфері лісового господарства;</w:t>
      </w:r>
    </w:p>
    <w:p w14:paraId="03967934" w14:textId="77777777" w:rsidR="00436BA8" w:rsidRP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сприятиме підвищенню позицій України у Рейтингу «Doing Business»;</w:t>
      </w:r>
    </w:p>
    <w:p w14:paraId="3EB46EB9" w14:textId="77777777" w:rsidR="00436BA8" w:rsidRP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покращ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інвестиційн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клімат</w:t>
      </w:r>
      <w:r w:rsidR="00A51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іс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отримання дозвільних документів у сфері лісового господарства;</w:t>
      </w:r>
    </w:p>
    <w:p w14:paraId="2B0876D7" w14:textId="77777777" w:rsidR="00436BA8" w:rsidRP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зни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зити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корупційн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ризик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отримання дозвільних документів у сфері лісового господарства;</w:t>
      </w:r>
    </w:p>
    <w:p w14:paraId="7EC3E274" w14:textId="77777777" w:rsid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отрим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увати 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дозвільн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сфері лісового господарства засобами Єдиного державного вебпорталу електронних послуг «Дія» з подальшим відображенням інформації на Єдиній екологічній платформі «ЕкоСистема»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3BD37FDD" w14:textId="77777777" w:rsidR="00436BA8" w:rsidRP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абезпеч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досягнення цілей державного регулювання, оскільки дозволить отримати об’єктивну інформацію щодо доцільності в майбутньому надання дозвільних документів у сфері лісового господарства в електронній формі;</w:t>
      </w:r>
    </w:p>
    <w:p w14:paraId="3BDD27B6" w14:textId="77777777" w:rsidR="00436BA8" w:rsidRPr="00436BA8" w:rsidRDefault="00436BA8" w:rsidP="00436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встановити зрозуміле та прозоре для суб’єктів господарювання та органів, які реалізують державну політику у сфері лісового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регулювання;</w:t>
      </w:r>
    </w:p>
    <w:p w14:paraId="2E495692" w14:textId="77777777" w:rsidR="00436BA8" w:rsidRPr="00436BA8" w:rsidRDefault="00436BA8" w:rsidP="00436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>неможливит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436B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суб’єктивне застосування регуляторних вимог.</w:t>
      </w:r>
    </w:p>
    <w:p w14:paraId="4E8AF6A1" w14:textId="77777777" w:rsidR="007637C4" w:rsidRPr="004F206A" w:rsidRDefault="007637C4" w:rsidP="0076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71DB">
        <w:rPr>
          <w:rFonts w:ascii="Times New Roman" w:hAnsi="Times New Roman"/>
          <w:sz w:val="28"/>
          <w:szCs w:val="28"/>
          <w:lang w:val="uk-UA"/>
        </w:rPr>
        <w:t>Організаційні заходи</w:t>
      </w:r>
      <w:r w:rsidRPr="004F206A">
        <w:rPr>
          <w:rFonts w:ascii="Times New Roman" w:hAnsi="Times New Roman"/>
          <w:sz w:val="28"/>
          <w:szCs w:val="28"/>
          <w:lang w:val="uk-UA"/>
        </w:rPr>
        <w:t>, які необхідно здійснити для впровадження регуляторного акта.</w:t>
      </w:r>
    </w:p>
    <w:p w14:paraId="4424654A" w14:textId="77777777" w:rsidR="007637C4" w:rsidRPr="004F206A" w:rsidRDefault="007637C4" w:rsidP="0076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  <w:lang w:val="uk-UA"/>
        </w:rPr>
        <w:t>1. Центральному органу виконавчої влади, що реалізує державну політику у сфері лісового господарства, забезпечити інформування своїх територіальних органів, структурних підрозділів облдержадміністрацій з питань охорони навколишнього природного середовища, органів місцевого самоврядування, власників лісів, постійних лісокористувачів та громадськості про вимоги регуляторного акта шляхом його оприлюднення в засобах масової інформації та на офіційному веб</w:t>
      </w:r>
      <w:r w:rsidR="00E27CEF">
        <w:rPr>
          <w:rFonts w:ascii="Times New Roman" w:hAnsi="Times New Roman"/>
          <w:sz w:val="28"/>
          <w:szCs w:val="28"/>
          <w:lang w:val="uk-UA"/>
        </w:rPr>
        <w:t>-</w:t>
      </w:r>
      <w:r w:rsidRPr="004F206A">
        <w:rPr>
          <w:rFonts w:ascii="Times New Roman" w:hAnsi="Times New Roman"/>
          <w:sz w:val="28"/>
          <w:szCs w:val="28"/>
          <w:lang w:val="uk-UA"/>
        </w:rPr>
        <w:t>сайті.</w:t>
      </w:r>
    </w:p>
    <w:p w14:paraId="434EA9D0" w14:textId="77777777" w:rsidR="007637C4" w:rsidRDefault="007637C4" w:rsidP="0076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  <w:lang w:val="uk-UA"/>
        </w:rPr>
        <w:lastRenderedPageBreak/>
        <w:t>2. Суб’єктам господарювання у сфері ведення лісового господарства необхідно керуватися вимогами даного регуляторного акта при здійсненні своєї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BD579EA" w14:textId="77777777" w:rsidR="00EE1A79" w:rsidRPr="008D5D59" w:rsidRDefault="00EE1A79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B2C853" w14:textId="77777777" w:rsidR="005B7D61" w:rsidRPr="008D5D59" w:rsidRDefault="005B7D61" w:rsidP="001B01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70BBC21C" w14:textId="77777777" w:rsidR="007D280F" w:rsidRPr="008D5D59" w:rsidRDefault="007D280F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постанови не потребує додаткових видатків з державного бюджету, а буде здійснюватися в межах видатків, передбачених за рахунок міжнародної технічної допомоги у рамках проекту 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>USAID</w:t>
      </w: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D5D59">
        <w:rPr>
          <w:rFonts w:ascii="Times New Roman" w:eastAsia="Times New Roman" w:hAnsi="Times New Roman" w:cs="Times New Roman"/>
          <w:sz w:val="28"/>
          <w:szCs w:val="28"/>
        </w:rPr>
        <w:t>UKaid</w:t>
      </w:r>
      <w:r w:rsidRPr="008D5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«Підтримка Цифрової Трансформації», реєстраційна картка проекту 5458-03.</w:t>
      </w:r>
    </w:p>
    <w:p w14:paraId="6E12A195" w14:textId="77777777" w:rsidR="001B0194" w:rsidRDefault="001B0194" w:rsidP="001B0194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D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D5D59">
        <w:rPr>
          <w:rFonts w:ascii="Times New Roman" w:hAnsi="Times New Roman" w:cs="Times New Roman"/>
          <w:sz w:val="28"/>
          <w:szCs w:val="28"/>
        </w:rPr>
        <w:t>апропоновані зміни до постанови не потребують додаткового фінансування на розроблення змін до програмних продуктів, а саме Єдиної екологічної платформи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ЕкоСистема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D59">
        <w:rPr>
          <w:rFonts w:ascii="Times New Roman" w:hAnsi="Times New Roman" w:cs="Times New Roman"/>
          <w:sz w:val="28"/>
          <w:szCs w:val="28"/>
        </w:rPr>
        <w:t xml:space="preserve"> та Порталу Дія.</w:t>
      </w:r>
    </w:p>
    <w:p w14:paraId="5BCDC33E" w14:textId="77777777" w:rsidR="00A511B3" w:rsidRDefault="00A511B3" w:rsidP="00A5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658A">
        <w:rPr>
          <w:rFonts w:ascii="Times New Roman" w:hAnsi="Times New Roman"/>
          <w:sz w:val="28"/>
          <w:szCs w:val="28"/>
          <w:lang w:val="uk-UA"/>
        </w:rPr>
        <w:t xml:space="preserve">Вимоги регуляторного акту будуть впроваджуватися суб’єктами господарювання (507 од.) та </w:t>
      </w:r>
      <w:r w:rsidRPr="003F08FA">
        <w:rPr>
          <w:rFonts w:ascii="Times New Roman" w:hAnsi="Times New Roman"/>
          <w:sz w:val="28"/>
          <w:szCs w:val="28"/>
          <w:lang w:val="uk-UA"/>
        </w:rPr>
        <w:t>Держлісагентством, розрахунок витрат для яких наведено у додатках 1 і 2 до Аналізу регуляторного впливу.</w:t>
      </w:r>
      <w:r w:rsidR="003F08FA" w:rsidRPr="003F08FA">
        <w:rPr>
          <w:rFonts w:ascii="Times New Roman" w:hAnsi="Times New Roman"/>
          <w:sz w:val="28"/>
          <w:szCs w:val="28"/>
          <w:lang w:val="uk-UA"/>
        </w:rPr>
        <w:t xml:space="preserve"> Зокрема,</w:t>
      </w:r>
    </w:p>
    <w:p w14:paraId="7FC813EF" w14:textId="77777777" w:rsidR="003F08FA" w:rsidRDefault="003F08FA" w:rsidP="00A511B3">
      <w:pPr>
        <w:spacing w:after="0" w:line="240" w:lineRule="auto"/>
        <w:ind w:firstLine="709"/>
        <w:jc w:val="both"/>
        <w:rPr>
          <w:rStyle w:val="spanrvts15"/>
          <w:rFonts w:eastAsia="Calibri"/>
          <w:b w:val="0"/>
          <w:lang w:val="uk-UA"/>
        </w:rPr>
      </w:pPr>
      <w:r>
        <w:rPr>
          <w:rStyle w:val="spanrvts15"/>
          <w:rFonts w:eastAsia="Calibri"/>
          <w:b w:val="0"/>
          <w:lang w:val="uk-UA"/>
        </w:rPr>
        <w:t xml:space="preserve">витрати </w:t>
      </w:r>
      <w:r w:rsidRPr="003F08FA">
        <w:rPr>
          <w:rStyle w:val="spanrvts15"/>
          <w:rFonts w:eastAsia="Calibri"/>
          <w:b w:val="0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  <w:r>
        <w:rPr>
          <w:rStyle w:val="spanrvts15"/>
          <w:rFonts w:eastAsia="Calibri"/>
          <w:b w:val="0"/>
          <w:lang w:val="uk-UA"/>
        </w:rPr>
        <w:t xml:space="preserve"> – 48672 грн;</w:t>
      </w:r>
    </w:p>
    <w:p w14:paraId="39B1C60A" w14:textId="77777777" w:rsidR="003F08FA" w:rsidRDefault="003F08FA" w:rsidP="003F08FA">
      <w:pPr>
        <w:spacing w:after="0" w:line="240" w:lineRule="auto"/>
        <w:ind w:firstLine="709"/>
        <w:jc w:val="both"/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бюджетні </w:t>
      </w:r>
      <w:r w:rsidRPr="003F08FA">
        <w:rPr>
          <w:rFonts w:ascii="Times New Roman" w:hAnsi="Times New Roman"/>
          <w:sz w:val="28"/>
          <w:szCs w:val="28"/>
          <w:lang w:val="uk-UA"/>
        </w:rPr>
        <w:t>Держлісагентства</w:t>
      </w:r>
      <w:r w:rsidRPr="003F08FA"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 адміністрування регулювання для суб’єктів великого і середнього підприємництва</w:t>
      </w:r>
      <w:r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– за рік 1476384 грн, а за п</w:t>
      </w:r>
      <w:r w:rsidR="000E41EC"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’</w:t>
      </w:r>
      <w:r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ять років – 7381920 грн.</w:t>
      </w:r>
    </w:p>
    <w:p w14:paraId="74073E2E" w14:textId="77777777" w:rsidR="003F08FA" w:rsidRPr="003F08FA" w:rsidRDefault="003F08FA" w:rsidP="003F0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8FA">
        <w:rPr>
          <w:rFonts w:ascii="Times New Roman" w:hAnsi="Times New Roman"/>
          <w:sz w:val="28"/>
          <w:szCs w:val="28"/>
          <w:shd w:val="clear" w:color="auto" w:fill="FFFFFF"/>
        </w:rPr>
        <w:t xml:space="preserve">Сумарно бюджетні витрати на адміністрування регулювання суб’єктів великого і середнього підприємництва не визначалися, так як </w:t>
      </w:r>
      <w:r w:rsidRPr="003F08FA">
        <w:rPr>
          <w:rFonts w:ascii="Times New Roman" w:hAnsi="Times New Roman"/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54E94EAA" w14:textId="77777777" w:rsidR="00A511B3" w:rsidRPr="004F206A" w:rsidRDefault="00A511B3" w:rsidP="00A5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  <w:lang w:val="uk-UA"/>
        </w:rPr>
        <w:t xml:space="preserve">Запропонований проект регуляторного акта </w:t>
      </w:r>
      <w:r w:rsidRPr="00971F64">
        <w:rPr>
          <w:rFonts w:ascii="Times New Roman" w:hAnsi="Times New Roman"/>
          <w:sz w:val="28"/>
          <w:szCs w:val="28"/>
          <w:lang w:val="uk-UA"/>
        </w:rPr>
        <w:t>не поширюється на суб’єктів малого підприємництва</w:t>
      </w:r>
      <w:r w:rsidRPr="004F206A">
        <w:rPr>
          <w:rFonts w:ascii="Times New Roman" w:hAnsi="Times New Roman"/>
          <w:sz w:val="28"/>
          <w:szCs w:val="28"/>
          <w:lang w:val="uk-UA"/>
        </w:rPr>
        <w:t>, тому розрахунок витрат на запропоноване державне регулювання для суб’єкта малого підприємництва також не проводився.</w:t>
      </w:r>
    </w:p>
    <w:p w14:paraId="157BB597" w14:textId="77777777" w:rsidR="007D280F" w:rsidRPr="008D5D59" w:rsidRDefault="007D280F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20F90" w14:textId="77777777" w:rsidR="005B7D61" w:rsidRPr="008D5D59" w:rsidRDefault="005B7D61" w:rsidP="00CE1D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VII. Обґрунтування запропонованого строку дії регуляторного акта</w:t>
      </w:r>
    </w:p>
    <w:p w14:paraId="724BD982" w14:textId="77777777" w:rsidR="002D6014" w:rsidRDefault="002D6014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Проєктом постанови пропонується внести зміну до пункту 1 постанови, встановивши строк реалізації експериментального проєкту щодо видачі лісорубного квитка та сертифіката про походження лісоматеріалів в електронній формі з 17 листопада 2023 р. по 17 листопада 2025 р., а також залишити діючим правове регулювання</w:t>
      </w:r>
      <w:r w:rsidR="00453B0D" w:rsidRPr="008D5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E43407" w14:textId="77777777" w:rsidR="001B0194" w:rsidRPr="000A78DD" w:rsidRDefault="001B0194" w:rsidP="001B0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8DD">
        <w:rPr>
          <w:rFonts w:ascii="Times New Roman" w:hAnsi="Times New Roman"/>
          <w:sz w:val="28"/>
          <w:szCs w:val="28"/>
        </w:rPr>
        <w:t xml:space="preserve">Термін дії регуляторного акта, який розроблений відповідно до діючих норм </w:t>
      </w:r>
      <w:r>
        <w:rPr>
          <w:rFonts w:ascii="Times New Roman" w:hAnsi="Times New Roman"/>
          <w:sz w:val="28"/>
          <w:szCs w:val="28"/>
          <w:lang w:val="uk-UA"/>
        </w:rPr>
        <w:t>законодавства обмежується строком дії експериментального проєкту.</w:t>
      </w:r>
      <w:r w:rsidRPr="000A78DD">
        <w:rPr>
          <w:rFonts w:ascii="Times New Roman" w:hAnsi="Times New Roman"/>
          <w:sz w:val="28"/>
          <w:szCs w:val="28"/>
        </w:rPr>
        <w:t xml:space="preserve"> Зміна строку дії регуляторного акта можлива в разі зміни законодавчих актів України вищої юридичної сили. </w:t>
      </w:r>
    </w:p>
    <w:p w14:paraId="67ACEEA5" w14:textId="77777777" w:rsidR="001B0194" w:rsidRDefault="001B0194" w:rsidP="001B0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8DD">
        <w:rPr>
          <w:rFonts w:ascii="Times New Roman" w:hAnsi="Times New Roman"/>
          <w:sz w:val="28"/>
          <w:szCs w:val="28"/>
        </w:rPr>
        <w:t>Регуляторний акт набирає чинності після його офіційного оприлюднення.</w:t>
      </w:r>
    </w:p>
    <w:p w14:paraId="704C24AD" w14:textId="77777777" w:rsidR="007109BD" w:rsidRDefault="007109BD" w:rsidP="001B0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800E7" w14:textId="77777777" w:rsidR="00B51747" w:rsidRPr="000A78DD" w:rsidRDefault="00B51747" w:rsidP="001B0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B761BA" w14:textId="77777777" w:rsidR="005B7D61" w:rsidRPr="008D5D59" w:rsidRDefault="005B7D61" w:rsidP="00B23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VIII. Визначення показників результативності дії регуляторного акта</w:t>
      </w:r>
    </w:p>
    <w:p w14:paraId="7F2D052B" w14:textId="77777777" w:rsidR="00CE1D83" w:rsidRPr="000A78DD" w:rsidRDefault="00CE1D83" w:rsidP="00CE1D83">
      <w:pPr>
        <w:pStyle w:val="2"/>
        <w:tabs>
          <w:tab w:val="left" w:pos="322"/>
        </w:tabs>
        <w:spacing w:after="0" w:line="240" w:lineRule="auto"/>
        <w:ind w:left="0" w:firstLine="709"/>
        <w:jc w:val="both"/>
      </w:pPr>
      <w:r w:rsidRPr="000A78DD">
        <w:t>Прогнозними значеннями показників результативності регуляторного акта є:</w:t>
      </w:r>
    </w:p>
    <w:p w14:paraId="7D2C3256" w14:textId="77777777" w:rsidR="00A511B3" w:rsidRPr="004F206A" w:rsidRDefault="00A511B3" w:rsidP="00A5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4F206A">
        <w:rPr>
          <w:rFonts w:ascii="Times New Roman" w:hAnsi="Times New Roman"/>
          <w:sz w:val="28"/>
          <w:szCs w:val="28"/>
          <w:lang w:val="uk-UA"/>
        </w:rPr>
        <w:t>озмір надходжень до державного та місцевих бюджетів і державних цільових фондів, пов’язаних із дією акта – прямих надходжень до держа</w:t>
      </w:r>
      <w:r>
        <w:rPr>
          <w:rFonts w:ascii="Times New Roman" w:hAnsi="Times New Roman"/>
          <w:sz w:val="28"/>
          <w:szCs w:val="28"/>
          <w:lang w:val="uk-UA"/>
        </w:rPr>
        <w:t>вного бюджету не передбачається;</w:t>
      </w:r>
    </w:p>
    <w:p w14:paraId="239406DA" w14:textId="77777777" w:rsidR="00CE1D83" w:rsidRPr="00FA493E" w:rsidRDefault="00CE1D83" w:rsidP="00CE1D83">
      <w:pPr>
        <w:pStyle w:val="2"/>
        <w:tabs>
          <w:tab w:val="left" w:pos="0"/>
          <w:tab w:val="left" w:pos="322"/>
        </w:tabs>
        <w:spacing w:after="0" w:line="240" w:lineRule="auto"/>
        <w:ind w:left="0" w:firstLine="709"/>
        <w:jc w:val="both"/>
      </w:pPr>
      <w:r w:rsidRPr="00FA493E">
        <w:t xml:space="preserve">кількість суб’єктів господарювання, на яких поширюється дія акта – 507; </w:t>
      </w:r>
    </w:p>
    <w:p w14:paraId="00D7AB8C" w14:textId="77777777" w:rsidR="00CE1D83" w:rsidRPr="00FA493E" w:rsidRDefault="00CE1D83" w:rsidP="00CE1D83">
      <w:pPr>
        <w:pStyle w:val="2"/>
        <w:tabs>
          <w:tab w:val="left" w:pos="322"/>
          <w:tab w:val="left" w:pos="1134"/>
        </w:tabs>
        <w:spacing w:after="0" w:line="240" w:lineRule="auto"/>
        <w:ind w:left="0" w:firstLine="709"/>
        <w:jc w:val="both"/>
      </w:pPr>
      <w:r w:rsidRPr="00FA493E">
        <w:t>рівень поінформованості суб’єктів господарювання з основних положень регуляторного акта – середній (</w:t>
      </w:r>
      <w:r w:rsidRPr="00FA493E">
        <w:rPr>
          <w:color w:val="211F1F"/>
          <w:szCs w:val="28"/>
          <w:lang w:val="ru-RU"/>
        </w:rPr>
        <w:t xml:space="preserve">проекту акта </w:t>
      </w:r>
      <w:r w:rsidRPr="00FA493E">
        <w:t xml:space="preserve">та аналіз регуляторного впливу акта розміщується на офіційному веб-сайті </w:t>
      </w:r>
      <w:r w:rsidRPr="00FA493E">
        <w:rPr>
          <w:rStyle w:val="rvts23"/>
          <w:color w:val="000000"/>
          <w:szCs w:val="28"/>
        </w:rPr>
        <w:t>Держлісагентства)</w:t>
      </w:r>
      <w:r w:rsidRPr="00FA493E">
        <w:t>.</w:t>
      </w:r>
    </w:p>
    <w:p w14:paraId="6CDCBEDF" w14:textId="77777777" w:rsidR="00D81771" w:rsidRDefault="00A511B3" w:rsidP="00D81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4F206A">
        <w:rPr>
          <w:rFonts w:ascii="Times New Roman" w:hAnsi="Times New Roman"/>
          <w:sz w:val="28"/>
          <w:szCs w:val="28"/>
          <w:lang w:val="uk-UA"/>
        </w:rPr>
        <w:t>озмір коштів і часу, що необхідно буде витратити суб’єктам господарювання та/або фізичним особам, для виконання вимог акта – розмір коштів та часу</w:t>
      </w:r>
      <w:r>
        <w:rPr>
          <w:rFonts w:ascii="Times New Roman" w:hAnsi="Times New Roman"/>
          <w:sz w:val="28"/>
          <w:szCs w:val="28"/>
          <w:lang w:val="uk-UA"/>
        </w:rPr>
        <w:t xml:space="preserve"> не змінюватиметься;</w:t>
      </w:r>
    </w:p>
    <w:p w14:paraId="6B9366DF" w14:textId="77777777" w:rsidR="00A511B3" w:rsidRPr="00D81771" w:rsidRDefault="00A511B3" w:rsidP="00D81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81771">
        <w:rPr>
          <w:rFonts w:ascii="Times New Roman" w:hAnsi="Times New Roman"/>
          <w:sz w:val="28"/>
          <w:szCs w:val="28"/>
        </w:rPr>
        <w:t>кількість звернень/скарг від суб’єктів господарювання, на яких поширюва</w:t>
      </w:r>
      <w:r w:rsidR="00D81771" w:rsidRPr="00D81771">
        <w:rPr>
          <w:rFonts w:ascii="Times New Roman" w:hAnsi="Times New Roman"/>
          <w:sz w:val="28"/>
          <w:szCs w:val="28"/>
        </w:rPr>
        <w:t>тиметься дія регуляторного акта;</w:t>
      </w:r>
    </w:p>
    <w:p w14:paraId="10DE7A1E" w14:textId="77777777" w:rsidR="00A511B3" w:rsidRPr="00D81771" w:rsidRDefault="00A511B3" w:rsidP="00D81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D81771">
        <w:rPr>
          <w:rFonts w:ascii="Times New Roman" w:hAnsi="Times New Roman"/>
          <w:sz w:val="28"/>
          <w:szCs w:val="28"/>
          <w:lang w:val="uk-UA"/>
        </w:rPr>
        <w:t xml:space="preserve">кількість дозвільних документів у сфері лісового господарства, які видані в </w:t>
      </w:r>
      <w:r w:rsidR="00D81771" w:rsidRPr="00D81771">
        <w:rPr>
          <w:rFonts w:ascii="Times New Roman" w:hAnsi="Times New Roman"/>
          <w:sz w:val="28"/>
          <w:szCs w:val="28"/>
          <w:lang w:val="uk-UA"/>
        </w:rPr>
        <w:t>електронній формі.</w:t>
      </w:r>
    </w:p>
    <w:p w14:paraId="41FF832D" w14:textId="77777777" w:rsidR="00C1453A" w:rsidRPr="008D5D59" w:rsidRDefault="00C1453A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Реалізація постанови матиме позитивний вплив на суб’єктів господарювання, громадян та органи державної влади.</w:t>
      </w:r>
    </w:p>
    <w:p w14:paraId="02582A9F" w14:textId="77777777" w:rsidR="00C1453A" w:rsidRPr="008D5D59" w:rsidRDefault="00C1453A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6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880"/>
        <w:gridCol w:w="3480"/>
        <w:gridCol w:w="3600"/>
      </w:tblGrid>
      <w:tr w:rsidR="00C1453A" w:rsidRPr="00A94520" w14:paraId="726DEFB2" w14:textId="77777777" w:rsidTr="004B2830">
        <w:trPr>
          <w:trHeight w:val="53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BE00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Заінтересована сторона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CE3C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A22A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Пояснення очікуваного впливу</w:t>
            </w:r>
          </w:p>
        </w:tc>
      </w:tr>
      <w:tr w:rsidR="00C1453A" w:rsidRPr="00A94520" w14:paraId="68B43D7C" w14:textId="77777777" w:rsidTr="004B283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7E54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 господарювання, що провадять свою діяльність на території України та здійснюють заготівлю деревини та/або експорт деревини.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4C16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Спрощення ведення бізнесу шляхом створення для суб’єктів господарювання можливості отримання спеціального дозволу на використання лісових ресурсів (лісорубного квитка) та сертифіката про походження лісоматеріалів та виготовлених з них пиломатеріалів онлайн (далі – дозвільні документи). Прискорення процедури отримання дозвільних документів шляхом скорочення строку їх отримання. Зменшення адміністративного навантаження на бізнес.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AD4E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дозвільних документів в електронній формі спростить процедуру подачі документів; зменшить фінансове та адміністративне навантаження на суб’єктів господарювання. Зменшення витрат на здійснення господарської діяльності. Кошти, які витрачаються на отримання дозвільних документів в письмовій формі, суб’єкти господарювання зможуть спрямувати на розвиток власного бізнесу.</w:t>
            </w:r>
          </w:p>
        </w:tc>
      </w:tr>
      <w:tr w:rsidR="00C1453A" w:rsidRPr="00A94520" w14:paraId="59DC3B98" w14:textId="77777777" w:rsidTr="004B2830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A812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державної влади</w:t>
            </w:r>
            <w:r w:rsidR="00574EB8" w:rsidRPr="00CE1D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9533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Зменшення витрат держави на адміністрування процедури видачі дозвільних документів, шляхом налагодження електронної взаємодії між Держ</w:t>
            </w:r>
            <w:r w:rsidR="00CE1D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ліс</w:t>
            </w: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агентством та територіальними органами з </w:t>
            </w: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Державною податковою службою </w:t>
            </w: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 та Державною митною службою України.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BD7D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Уніфікація даних для всіх заінтересованих органів.</w:t>
            </w:r>
          </w:p>
          <w:p w14:paraId="5D9936E8" w14:textId="77777777" w:rsidR="00C1453A" w:rsidRPr="00CE1D83" w:rsidRDefault="00C1453A" w:rsidP="00CE1D83">
            <w:pPr>
              <w:pStyle w:val="1"/>
              <w:tabs>
                <w:tab w:val="left" w:pos="9639"/>
              </w:tabs>
              <w:spacing w:line="240" w:lineRule="auto"/>
              <w:ind w:firstLine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8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видані дозвільні документи розміщуватиметься безкоштовно та постійно оновлюватиметься.</w:t>
            </w:r>
          </w:p>
        </w:tc>
      </w:tr>
    </w:tbl>
    <w:p w14:paraId="70E723D6" w14:textId="77777777" w:rsidR="00C1453A" w:rsidRPr="008D5D59" w:rsidRDefault="00C1453A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6BEFA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10E96EF0" w14:textId="77777777" w:rsidR="00D81771" w:rsidRPr="004F206A" w:rsidRDefault="00D81771" w:rsidP="00D8177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</w:rPr>
        <w:t xml:space="preserve">Відстеження результативності регуляторного акта здійснюватиметься </w:t>
      </w:r>
      <w:r w:rsidRPr="004F20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Держлісагентством</w:t>
      </w:r>
      <w:r w:rsidRPr="004F206A">
        <w:rPr>
          <w:rFonts w:ascii="Times New Roman" w:hAnsi="Times New Roman"/>
          <w:sz w:val="28"/>
          <w:szCs w:val="28"/>
          <w:lang w:val="uk-UA"/>
        </w:rPr>
        <w:t xml:space="preserve"> шляхом аналізу статистичної інформації про </w:t>
      </w:r>
      <w:r>
        <w:rPr>
          <w:rFonts w:ascii="Times New Roman" w:hAnsi="Times New Roman"/>
          <w:sz w:val="28"/>
          <w:szCs w:val="28"/>
          <w:lang w:val="uk-UA"/>
        </w:rPr>
        <w:t>кількість виданих дозвільних документів у сфері лісового господарства в електронній формі</w:t>
      </w:r>
      <w:r w:rsidRPr="004F206A">
        <w:rPr>
          <w:rFonts w:ascii="Times New Roman" w:hAnsi="Times New Roman"/>
          <w:sz w:val="28"/>
          <w:szCs w:val="28"/>
          <w:lang w:val="uk-UA"/>
        </w:rPr>
        <w:t>.</w:t>
      </w:r>
    </w:p>
    <w:p w14:paraId="6651B93D" w14:textId="77777777" w:rsidR="00300848" w:rsidRPr="00F94F80" w:rsidRDefault="00300848" w:rsidP="0030084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F206A">
        <w:rPr>
          <w:rFonts w:ascii="Times New Roman" w:hAnsi="Times New Roman"/>
          <w:sz w:val="28"/>
          <w:szCs w:val="28"/>
        </w:rPr>
        <w:t xml:space="preserve">Базове відстеження результативності регуляторного акта здійснюватиметься </w:t>
      </w:r>
      <w:r w:rsidR="00F94F80">
        <w:rPr>
          <w:rFonts w:ascii="Times New Roman" w:hAnsi="Times New Roman"/>
          <w:sz w:val="28"/>
          <w:szCs w:val="28"/>
          <w:lang w:val="uk-UA"/>
        </w:rPr>
        <w:t xml:space="preserve">в ІІ кварталі </w:t>
      </w:r>
      <w:r w:rsidR="00F94F80" w:rsidRPr="00F94F8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F94F80">
        <w:rPr>
          <w:rFonts w:ascii="Times New Roman" w:hAnsi="Times New Roman"/>
          <w:color w:val="000000"/>
          <w:sz w:val="28"/>
          <w:szCs w:val="28"/>
        </w:rPr>
        <w:t>набрання чинності цим регуляторним актом</w:t>
      </w:r>
      <w:r w:rsidR="00F94F80" w:rsidRPr="00F94F80">
        <w:rPr>
          <w:rFonts w:ascii="Times New Roman" w:hAnsi="Times New Roman"/>
          <w:color w:val="000000"/>
          <w:sz w:val="28"/>
          <w:szCs w:val="28"/>
          <w:lang w:val="uk-UA"/>
        </w:rPr>
        <w:t xml:space="preserve">, але не </w:t>
      </w:r>
      <w:r w:rsidR="00F94F80" w:rsidRPr="00F94F80">
        <w:rPr>
          <w:rFonts w:ascii="Times New Roman" w:hAnsi="Times New Roman"/>
          <w:sz w:val="28"/>
          <w:szCs w:val="28"/>
          <w:lang w:val="uk-UA"/>
        </w:rPr>
        <w:t xml:space="preserve">пізніше </w:t>
      </w:r>
      <w:r w:rsidR="00F94F80" w:rsidRPr="00F94F80">
        <w:rPr>
          <w:rFonts w:ascii="Times New Roman" w:hAnsi="Times New Roman"/>
          <w:sz w:val="28"/>
          <w:szCs w:val="28"/>
          <w:shd w:val="clear" w:color="auto" w:fill="FFFFFF"/>
        </w:rPr>
        <w:t>дня, з якого починається проведення повторного відстеження результативності цього акта</w:t>
      </w:r>
      <w:r w:rsidRPr="00F94F80">
        <w:rPr>
          <w:rFonts w:ascii="Times New Roman" w:hAnsi="Times New Roman"/>
          <w:sz w:val="28"/>
          <w:szCs w:val="28"/>
        </w:rPr>
        <w:t>.</w:t>
      </w:r>
    </w:p>
    <w:p w14:paraId="683C4102" w14:textId="77777777" w:rsidR="00300848" w:rsidRPr="004F206A" w:rsidRDefault="00300848" w:rsidP="00300848">
      <w:pPr>
        <w:pStyle w:val="rvps2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bookmarkStart w:id="0" w:name="n127"/>
      <w:bookmarkEnd w:id="0"/>
      <w:r w:rsidRPr="004F206A">
        <w:rPr>
          <w:color w:val="000000"/>
          <w:sz w:val="28"/>
          <w:szCs w:val="28"/>
        </w:rPr>
        <w:t>Повторне відстеження результативності регуляторного акта здійсню</w:t>
      </w:r>
      <w:r w:rsidRPr="004F206A">
        <w:rPr>
          <w:color w:val="000000"/>
          <w:sz w:val="28"/>
          <w:szCs w:val="28"/>
          <w:lang w:val="uk-UA"/>
        </w:rPr>
        <w:t>ватиметься</w:t>
      </w:r>
      <w:r w:rsidRPr="004F206A">
        <w:rPr>
          <w:color w:val="000000"/>
          <w:sz w:val="28"/>
          <w:szCs w:val="28"/>
        </w:rPr>
        <w:t xml:space="preserve"> через рік з дня набрання ним чинності, але не пізніше двох років з дня набрання чинності цим актом.</w:t>
      </w:r>
    </w:p>
    <w:p w14:paraId="6A96E07C" w14:textId="77777777" w:rsidR="00300848" w:rsidRPr="004F206A" w:rsidRDefault="00300848" w:rsidP="00300848">
      <w:pPr>
        <w:pStyle w:val="rvps2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bookmarkStart w:id="1" w:name="n128"/>
      <w:bookmarkEnd w:id="1"/>
      <w:r w:rsidRPr="004F206A">
        <w:rPr>
          <w:color w:val="000000"/>
          <w:sz w:val="28"/>
          <w:szCs w:val="28"/>
        </w:rPr>
        <w:t>Періодичні відстеження результативності регуляторного акта здійсню</w:t>
      </w:r>
      <w:r w:rsidRPr="004F206A">
        <w:rPr>
          <w:color w:val="000000"/>
          <w:sz w:val="28"/>
          <w:szCs w:val="28"/>
          <w:lang w:val="uk-UA"/>
        </w:rPr>
        <w:t xml:space="preserve">ватимуться </w:t>
      </w:r>
      <w:r w:rsidRPr="004F206A">
        <w:rPr>
          <w:color w:val="000000"/>
          <w:sz w:val="28"/>
          <w:szCs w:val="28"/>
        </w:rPr>
        <w:t>раз на кожні три роки</w:t>
      </w:r>
      <w:r w:rsidRPr="004F206A">
        <w:rPr>
          <w:color w:val="000000"/>
          <w:sz w:val="28"/>
          <w:szCs w:val="28"/>
          <w:lang w:val="uk-UA"/>
        </w:rPr>
        <w:t>,</w:t>
      </w:r>
      <w:r w:rsidRPr="004F206A">
        <w:rPr>
          <w:color w:val="000000"/>
          <w:sz w:val="28"/>
          <w:szCs w:val="28"/>
        </w:rPr>
        <w:t xml:space="preserve"> починаючи з дня закінчення заходів з повторного відстеження результативності цього акта</w:t>
      </w:r>
      <w:r w:rsidRPr="004F206A">
        <w:rPr>
          <w:color w:val="000000"/>
          <w:sz w:val="28"/>
          <w:szCs w:val="28"/>
          <w:lang w:val="uk-UA"/>
        </w:rPr>
        <w:t>.</w:t>
      </w:r>
    </w:p>
    <w:p w14:paraId="392EF16E" w14:textId="77777777" w:rsidR="00300848" w:rsidRPr="004F206A" w:rsidRDefault="00300848" w:rsidP="0030084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58F0D084" w14:textId="77777777" w:rsidR="00300848" w:rsidRPr="004F206A" w:rsidRDefault="00300848" w:rsidP="0030084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  <w:lang w:val="uk-UA"/>
        </w:rPr>
        <w:t xml:space="preserve">Для відстеження результативності будуть використовуватись дані, отримані за результатами річних звітів територіальних органів Держлісагентства та інформації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D5D59">
        <w:rPr>
          <w:rFonts w:ascii="Times New Roman" w:hAnsi="Times New Roman"/>
          <w:sz w:val="28"/>
          <w:szCs w:val="28"/>
        </w:rPr>
        <w:t>Єдиної екологічної платформи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ЕкоСистема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F206A">
        <w:rPr>
          <w:rFonts w:ascii="Times New Roman" w:hAnsi="Times New Roman"/>
          <w:sz w:val="28"/>
          <w:szCs w:val="28"/>
          <w:lang w:val="uk-UA"/>
        </w:rPr>
        <w:t>.</w:t>
      </w:r>
    </w:p>
    <w:p w14:paraId="297C43B4" w14:textId="77777777" w:rsidR="00300848" w:rsidRDefault="00300848" w:rsidP="0030084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206A">
        <w:rPr>
          <w:rFonts w:ascii="Times New Roman" w:hAnsi="Times New Roman"/>
          <w:sz w:val="28"/>
          <w:szCs w:val="28"/>
          <w:lang w:val="uk-UA"/>
        </w:rPr>
        <w:t xml:space="preserve">Цільові групи, які будуть залучатись для проведення відстеження, – </w:t>
      </w:r>
      <w:r>
        <w:rPr>
          <w:rFonts w:ascii="Times New Roman" w:hAnsi="Times New Roman"/>
          <w:sz w:val="28"/>
          <w:szCs w:val="28"/>
          <w:lang w:val="uk-UA"/>
        </w:rPr>
        <w:t xml:space="preserve">дев’ять </w:t>
      </w:r>
      <w:r w:rsidRPr="004F206A">
        <w:rPr>
          <w:rFonts w:ascii="Times New Roman" w:hAnsi="Times New Roman"/>
          <w:sz w:val="28"/>
          <w:szCs w:val="28"/>
          <w:lang w:val="uk-UA"/>
        </w:rPr>
        <w:t>територіальн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F206A">
        <w:rPr>
          <w:rFonts w:ascii="Times New Roman" w:hAnsi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F206A">
        <w:rPr>
          <w:rFonts w:ascii="Times New Roman" w:hAnsi="Times New Roman"/>
          <w:sz w:val="28"/>
          <w:szCs w:val="28"/>
          <w:lang w:val="uk-UA"/>
        </w:rPr>
        <w:t xml:space="preserve"> Держлісагентства, </w:t>
      </w:r>
      <w:r>
        <w:rPr>
          <w:rFonts w:ascii="Times New Roman" w:hAnsi="Times New Roman"/>
          <w:sz w:val="28"/>
          <w:szCs w:val="28"/>
          <w:lang w:val="uk-UA"/>
        </w:rPr>
        <w:t>державне підприємство «Лісогосподарський інформаційно-аналітичний центр», 507</w:t>
      </w:r>
      <w:r w:rsidRPr="004F206A">
        <w:rPr>
          <w:rFonts w:ascii="Times New Roman" w:hAnsi="Times New Roman"/>
          <w:sz w:val="28"/>
          <w:szCs w:val="28"/>
          <w:lang w:val="uk-UA"/>
        </w:rPr>
        <w:t xml:space="preserve"> власників лісів і постійних лісокористувачів.</w:t>
      </w:r>
    </w:p>
    <w:p w14:paraId="1F3E0B83" w14:textId="77777777" w:rsidR="00761F90" w:rsidRPr="008D5D59" w:rsidRDefault="00761F90" w:rsidP="008D5D59">
      <w:pPr>
        <w:pStyle w:val="1"/>
        <w:tabs>
          <w:tab w:val="left" w:pos="963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D59">
        <w:rPr>
          <w:rFonts w:ascii="Times New Roman" w:eastAsia="Times New Roman" w:hAnsi="Times New Roman" w:cs="Times New Roman"/>
          <w:sz w:val="28"/>
          <w:szCs w:val="28"/>
        </w:rPr>
        <w:t>У разі виявлення неврегульованих та проблемних моментів шляхом проведення аналізу показників дії цього акта, ці моменти буде виправлено шляхом внесенням відповідних змін.</w:t>
      </w:r>
    </w:p>
    <w:p w14:paraId="2A4C6021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F10AD07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741"/>
      </w:tblGrid>
      <w:tr w:rsidR="00761F90" w:rsidRPr="00A94520" w14:paraId="7276E6C5" w14:textId="77777777" w:rsidTr="00E30EB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AB39E" w14:textId="77777777" w:rsidR="00E01E31" w:rsidRPr="00A94520" w:rsidRDefault="00761F90" w:rsidP="00CE1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94520">
              <w:rPr>
                <w:rFonts w:ascii="Times New Roman" w:hAnsi="Times New Roman"/>
                <w:b/>
                <w:bCs/>
                <w:sz w:val="28"/>
                <w:szCs w:val="28"/>
              </w:rPr>
              <w:t>Голова Держ</w:t>
            </w:r>
            <w:r w:rsidRPr="00A94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авного агентства </w:t>
            </w:r>
          </w:p>
          <w:p w14:paraId="74599893" w14:textId="77777777" w:rsidR="005B7D61" w:rsidRPr="008D5D59" w:rsidRDefault="00761F90" w:rsidP="00CE1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4520">
              <w:rPr>
                <w:rFonts w:ascii="Times New Roman" w:hAnsi="Times New Roman"/>
                <w:b/>
                <w:bCs/>
                <w:sz w:val="28"/>
                <w:szCs w:val="28"/>
              </w:rPr>
              <w:t>лісових ресурсів України</w:t>
            </w:r>
          </w:p>
        </w:tc>
        <w:tc>
          <w:tcPr>
            <w:tcW w:w="3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F39FD" w14:textId="77777777" w:rsidR="00E01E31" w:rsidRPr="00A94520" w:rsidRDefault="00E01E31" w:rsidP="008D5D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0A058AF" w14:textId="77777777" w:rsidR="005B7D61" w:rsidRPr="008D5D59" w:rsidRDefault="00E01E31" w:rsidP="008D5D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45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CE1D83" w:rsidRPr="00A94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 w:rsidR="00B911F7" w:rsidRPr="00A94520">
              <w:rPr>
                <w:rFonts w:ascii="Times New Roman" w:hAnsi="Times New Roman"/>
                <w:b/>
                <w:bCs/>
                <w:sz w:val="28"/>
                <w:szCs w:val="28"/>
              </w:rPr>
              <w:t>Віктор СМАЛЬ</w:t>
            </w:r>
          </w:p>
        </w:tc>
      </w:tr>
    </w:tbl>
    <w:p w14:paraId="5680126B" w14:textId="77777777" w:rsidR="005B7D61" w:rsidRPr="008D5D59" w:rsidRDefault="005B7D61" w:rsidP="008D5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4F80A5" w14:textId="77777777" w:rsidR="005B7D61" w:rsidRPr="008D5D59" w:rsidRDefault="005B7D61" w:rsidP="00CE1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5D59">
        <w:rPr>
          <w:rFonts w:ascii="Times New Roman" w:eastAsia="Times New Roman" w:hAnsi="Times New Roman"/>
          <w:sz w:val="28"/>
          <w:szCs w:val="28"/>
          <w:lang w:val="uk-UA" w:eastAsia="ru-RU"/>
        </w:rPr>
        <w:t>___ ______________ 202</w:t>
      </w:r>
      <w:r w:rsidR="00E01E31" w:rsidRPr="008D5D59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</w:p>
    <w:p w14:paraId="2706F164" w14:textId="77777777" w:rsidR="00173C22" w:rsidRPr="008D5D59" w:rsidRDefault="00173C22" w:rsidP="008D5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73C22" w:rsidRPr="008D5D59" w:rsidSect="00C44564">
      <w:headerReference w:type="default" r:id="rId7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CA3E" w14:textId="77777777" w:rsidR="00930A4D" w:rsidRDefault="00930A4D" w:rsidP="00DB2A63">
      <w:pPr>
        <w:spacing w:after="0" w:line="240" w:lineRule="auto"/>
      </w:pPr>
      <w:r>
        <w:separator/>
      </w:r>
    </w:p>
  </w:endnote>
  <w:endnote w:type="continuationSeparator" w:id="0">
    <w:p w14:paraId="2F8EE7A4" w14:textId="77777777" w:rsidR="00930A4D" w:rsidRDefault="00930A4D" w:rsidP="00DB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9D4A" w14:textId="77777777" w:rsidR="00930A4D" w:rsidRDefault="00930A4D" w:rsidP="00DB2A63">
      <w:pPr>
        <w:spacing w:after="0" w:line="240" w:lineRule="auto"/>
      </w:pPr>
      <w:r>
        <w:separator/>
      </w:r>
    </w:p>
  </w:footnote>
  <w:footnote w:type="continuationSeparator" w:id="0">
    <w:p w14:paraId="20DFFAA7" w14:textId="77777777" w:rsidR="00930A4D" w:rsidRDefault="00930A4D" w:rsidP="00DB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AA0E" w14:textId="77777777" w:rsidR="00B844EC" w:rsidRDefault="002160E4">
    <w:pPr>
      <w:pStyle w:val="a4"/>
      <w:jc w:val="center"/>
    </w:pPr>
    <w:r>
      <w:fldChar w:fldCharType="begin"/>
    </w:r>
    <w:r w:rsidR="00B844EC">
      <w:instrText>PAGE   \* MERGEFORMAT</w:instrText>
    </w:r>
    <w:r>
      <w:fldChar w:fldCharType="separate"/>
    </w:r>
    <w:r w:rsidR="000E41EC">
      <w:rPr>
        <w:noProof/>
      </w:rPr>
      <w:t>9</w:t>
    </w:r>
    <w:r>
      <w:fldChar w:fldCharType="end"/>
    </w:r>
  </w:p>
  <w:p w14:paraId="28887AA2" w14:textId="77777777" w:rsidR="00B844EC" w:rsidRDefault="00B844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06C9"/>
    <w:multiLevelType w:val="multilevel"/>
    <w:tmpl w:val="D45C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46B7B"/>
    <w:multiLevelType w:val="hybridMultilevel"/>
    <w:tmpl w:val="20E8D6B4"/>
    <w:lvl w:ilvl="0" w:tplc="D7FC5F9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30B559C5"/>
    <w:multiLevelType w:val="multilevel"/>
    <w:tmpl w:val="354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B243D"/>
    <w:multiLevelType w:val="multilevel"/>
    <w:tmpl w:val="DAC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23AEB"/>
    <w:multiLevelType w:val="hybridMultilevel"/>
    <w:tmpl w:val="B24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00878"/>
    <w:multiLevelType w:val="hybridMultilevel"/>
    <w:tmpl w:val="C4B8676A"/>
    <w:lvl w:ilvl="0" w:tplc="B726D1B6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 w15:restartNumberingAfterBreak="0">
    <w:nsid w:val="6BBF3B9D"/>
    <w:multiLevelType w:val="multilevel"/>
    <w:tmpl w:val="490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F1069"/>
    <w:multiLevelType w:val="multilevel"/>
    <w:tmpl w:val="A34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1453">
    <w:abstractNumId w:val="0"/>
  </w:num>
  <w:num w:numId="2" w16cid:durableId="1544900355">
    <w:abstractNumId w:val="7"/>
  </w:num>
  <w:num w:numId="3" w16cid:durableId="1623997511">
    <w:abstractNumId w:val="3"/>
  </w:num>
  <w:num w:numId="4" w16cid:durableId="601491474">
    <w:abstractNumId w:val="2"/>
  </w:num>
  <w:num w:numId="5" w16cid:durableId="1335916166">
    <w:abstractNumId w:val="6"/>
  </w:num>
  <w:num w:numId="6" w16cid:durableId="1449012963">
    <w:abstractNumId w:val="1"/>
  </w:num>
  <w:num w:numId="7" w16cid:durableId="1910579544">
    <w:abstractNumId w:val="5"/>
  </w:num>
  <w:num w:numId="8" w16cid:durableId="174656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61"/>
    <w:rsid w:val="000109FE"/>
    <w:rsid w:val="00026052"/>
    <w:rsid w:val="00026A9C"/>
    <w:rsid w:val="00032DF2"/>
    <w:rsid w:val="00074174"/>
    <w:rsid w:val="00085833"/>
    <w:rsid w:val="000A190F"/>
    <w:rsid w:val="000C781C"/>
    <w:rsid w:val="000D0C29"/>
    <w:rsid w:val="000D3CF4"/>
    <w:rsid w:val="000E0C3B"/>
    <w:rsid w:val="000E1D2B"/>
    <w:rsid w:val="000E41EC"/>
    <w:rsid w:val="000E4961"/>
    <w:rsid w:val="00113D3A"/>
    <w:rsid w:val="0012644B"/>
    <w:rsid w:val="00173C22"/>
    <w:rsid w:val="001806DE"/>
    <w:rsid w:val="00181EE1"/>
    <w:rsid w:val="00194CCA"/>
    <w:rsid w:val="00195283"/>
    <w:rsid w:val="001B0194"/>
    <w:rsid w:val="001D412F"/>
    <w:rsid w:val="001F30D3"/>
    <w:rsid w:val="002148C9"/>
    <w:rsid w:val="002160E4"/>
    <w:rsid w:val="00217BBA"/>
    <w:rsid w:val="002322E7"/>
    <w:rsid w:val="002336DD"/>
    <w:rsid w:val="00234839"/>
    <w:rsid w:val="00245777"/>
    <w:rsid w:val="00245FFB"/>
    <w:rsid w:val="00265D13"/>
    <w:rsid w:val="0028231C"/>
    <w:rsid w:val="002879E7"/>
    <w:rsid w:val="00287A69"/>
    <w:rsid w:val="00293092"/>
    <w:rsid w:val="00293912"/>
    <w:rsid w:val="00295524"/>
    <w:rsid w:val="002B5F3E"/>
    <w:rsid w:val="002B7919"/>
    <w:rsid w:val="002C6F15"/>
    <w:rsid w:val="002C7550"/>
    <w:rsid w:val="002D0B79"/>
    <w:rsid w:val="002D6014"/>
    <w:rsid w:val="002E2EA5"/>
    <w:rsid w:val="002F1096"/>
    <w:rsid w:val="00300848"/>
    <w:rsid w:val="0030772A"/>
    <w:rsid w:val="0033262B"/>
    <w:rsid w:val="00344E9C"/>
    <w:rsid w:val="00346941"/>
    <w:rsid w:val="003553E8"/>
    <w:rsid w:val="003626D4"/>
    <w:rsid w:val="00382055"/>
    <w:rsid w:val="00386CAD"/>
    <w:rsid w:val="003A3435"/>
    <w:rsid w:val="003A379F"/>
    <w:rsid w:val="003B6744"/>
    <w:rsid w:val="003B6860"/>
    <w:rsid w:val="003D61D1"/>
    <w:rsid w:val="003D7857"/>
    <w:rsid w:val="003D789E"/>
    <w:rsid w:val="003F08E5"/>
    <w:rsid w:val="003F08FA"/>
    <w:rsid w:val="004023BB"/>
    <w:rsid w:val="00413BEC"/>
    <w:rsid w:val="00431CAF"/>
    <w:rsid w:val="00436BA8"/>
    <w:rsid w:val="00453B0D"/>
    <w:rsid w:val="00455B24"/>
    <w:rsid w:val="004574E4"/>
    <w:rsid w:val="00457F9A"/>
    <w:rsid w:val="00461F38"/>
    <w:rsid w:val="004754BF"/>
    <w:rsid w:val="00477E52"/>
    <w:rsid w:val="004921E1"/>
    <w:rsid w:val="004B2830"/>
    <w:rsid w:val="004E7D39"/>
    <w:rsid w:val="004F2AF1"/>
    <w:rsid w:val="004F3970"/>
    <w:rsid w:val="00512EF2"/>
    <w:rsid w:val="0051632A"/>
    <w:rsid w:val="005437DE"/>
    <w:rsid w:val="005458AE"/>
    <w:rsid w:val="005558C2"/>
    <w:rsid w:val="0057130B"/>
    <w:rsid w:val="00572CB5"/>
    <w:rsid w:val="00574EB8"/>
    <w:rsid w:val="00596917"/>
    <w:rsid w:val="005B1759"/>
    <w:rsid w:val="005B7D61"/>
    <w:rsid w:val="005C2D0E"/>
    <w:rsid w:val="005C6136"/>
    <w:rsid w:val="005D5827"/>
    <w:rsid w:val="005E0893"/>
    <w:rsid w:val="005F3EC4"/>
    <w:rsid w:val="0061301F"/>
    <w:rsid w:val="00623887"/>
    <w:rsid w:val="00631619"/>
    <w:rsid w:val="006453CE"/>
    <w:rsid w:val="00645816"/>
    <w:rsid w:val="00655F3A"/>
    <w:rsid w:val="00670CDD"/>
    <w:rsid w:val="0067367A"/>
    <w:rsid w:val="00696D7D"/>
    <w:rsid w:val="006C7B43"/>
    <w:rsid w:val="006D1B04"/>
    <w:rsid w:val="006F0EC9"/>
    <w:rsid w:val="007109BD"/>
    <w:rsid w:val="00710A0D"/>
    <w:rsid w:val="007261D4"/>
    <w:rsid w:val="00755A45"/>
    <w:rsid w:val="00761F90"/>
    <w:rsid w:val="007637C4"/>
    <w:rsid w:val="00767114"/>
    <w:rsid w:val="00784A0B"/>
    <w:rsid w:val="007C45EC"/>
    <w:rsid w:val="007D280F"/>
    <w:rsid w:val="008003B5"/>
    <w:rsid w:val="00801737"/>
    <w:rsid w:val="008250BC"/>
    <w:rsid w:val="00840E94"/>
    <w:rsid w:val="008505B7"/>
    <w:rsid w:val="00877CED"/>
    <w:rsid w:val="0089494A"/>
    <w:rsid w:val="008A5B24"/>
    <w:rsid w:val="008B1A85"/>
    <w:rsid w:val="008D3167"/>
    <w:rsid w:val="008D37B3"/>
    <w:rsid w:val="008D5D59"/>
    <w:rsid w:val="00924FDB"/>
    <w:rsid w:val="0092790A"/>
    <w:rsid w:val="00930A4D"/>
    <w:rsid w:val="00971BE5"/>
    <w:rsid w:val="00984A6F"/>
    <w:rsid w:val="009A6461"/>
    <w:rsid w:val="009B4F89"/>
    <w:rsid w:val="009D54A7"/>
    <w:rsid w:val="009F3E88"/>
    <w:rsid w:val="00A00DDD"/>
    <w:rsid w:val="00A20201"/>
    <w:rsid w:val="00A440C6"/>
    <w:rsid w:val="00A46CC9"/>
    <w:rsid w:val="00A511B3"/>
    <w:rsid w:val="00A74A1C"/>
    <w:rsid w:val="00A80DBA"/>
    <w:rsid w:val="00A85661"/>
    <w:rsid w:val="00A90E9A"/>
    <w:rsid w:val="00A94520"/>
    <w:rsid w:val="00AA75D8"/>
    <w:rsid w:val="00AB603E"/>
    <w:rsid w:val="00AC467B"/>
    <w:rsid w:val="00AD0D77"/>
    <w:rsid w:val="00AF3AA2"/>
    <w:rsid w:val="00B233FA"/>
    <w:rsid w:val="00B35230"/>
    <w:rsid w:val="00B44921"/>
    <w:rsid w:val="00B51747"/>
    <w:rsid w:val="00B54B08"/>
    <w:rsid w:val="00B61513"/>
    <w:rsid w:val="00B7154C"/>
    <w:rsid w:val="00B7579C"/>
    <w:rsid w:val="00B805A9"/>
    <w:rsid w:val="00B844EC"/>
    <w:rsid w:val="00B86CC9"/>
    <w:rsid w:val="00B911F7"/>
    <w:rsid w:val="00BA3974"/>
    <w:rsid w:val="00BB4B5F"/>
    <w:rsid w:val="00C1453A"/>
    <w:rsid w:val="00C271A6"/>
    <w:rsid w:val="00C44564"/>
    <w:rsid w:val="00C5069B"/>
    <w:rsid w:val="00C71BD7"/>
    <w:rsid w:val="00C7483F"/>
    <w:rsid w:val="00C81EB7"/>
    <w:rsid w:val="00C86E5D"/>
    <w:rsid w:val="00C938FA"/>
    <w:rsid w:val="00C97CBF"/>
    <w:rsid w:val="00CB3F38"/>
    <w:rsid w:val="00CB4D94"/>
    <w:rsid w:val="00CC0D81"/>
    <w:rsid w:val="00CE1D83"/>
    <w:rsid w:val="00CF2F14"/>
    <w:rsid w:val="00D06986"/>
    <w:rsid w:val="00D30B78"/>
    <w:rsid w:val="00D31EA8"/>
    <w:rsid w:val="00D409F8"/>
    <w:rsid w:val="00D424F2"/>
    <w:rsid w:val="00D5404D"/>
    <w:rsid w:val="00D61F9D"/>
    <w:rsid w:val="00D7658C"/>
    <w:rsid w:val="00D80230"/>
    <w:rsid w:val="00D81771"/>
    <w:rsid w:val="00D86900"/>
    <w:rsid w:val="00DA46BE"/>
    <w:rsid w:val="00DB2A63"/>
    <w:rsid w:val="00DB60AC"/>
    <w:rsid w:val="00DB74C5"/>
    <w:rsid w:val="00DE3859"/>
    <w:rsid w:val="00DF6316"/>
    <w:rsid w:val="00E01E31"/>
    <w:rsid w:val="00E12DF1"/>
    <w:rsid w:val="00E13109"/>
    <w:rsid w:val="00E27CEF"/>
    <w:rsid w:val="00E30EBD"/>
    <w:rsid w:val="00E3385E"/>
    <w:rsid w:val="00E376DD"/>
    <w:rsid w:val="00E4015B"/>
    <w:rsid w:val="00E42758"/>
    <w:rsid w:val="00E44F50"/>
    <w:rsid w:val="00E467E1"/>
    <w:rsid w:val="00E548BF"/>
    <w:rsid w:val="00E6582E"/>
    <w:rsid w:val="00E65FAF"/>
    <w:rsid w:val="00E7160F"/>
    <w:rsid w:val="00EA7984"/>
    <w:rsid w:val="00EB70AB"/>
    <w:rsid w:val="00ED7277"/>
    <w:rsid w:val="00EE1A79"/>
    <w:rsid w:val="00EE3483"/>
    <w:rsid w:val="00EE3625"/>
    <w:rsid w:val="00EF698B"/>
    <w:rsid w:val="00F16307"/>
    <w:rsid w:val="00F5238A"/>
    <w:rsid w:val="00F834E1"/>
    <w:rsid w:val="00F851E6"/>
    <w:rsid w:val="00F87BB9"/>
    <w:rsid w:val="00F93661"/>
    <w:rsid w:val="00F93B8D"/>
    <w:rsid w:val="00F94F80"/>
    <w:rsid w:val="00FB2D4A"/>
    <w:rsid w:val="00FE0261"/>
    <w:rsid w:val="00FF1547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DA1B"/>
  <w15:chartTrackingRefBased/>
  <w15:docId w15:val="{EA2A1BEB-18C4-446B-B038-BAABA87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8D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7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B7D61"/>
  </w:style>
  <w:style w:type="paragraph" w:customStyle="1" w:styleId="1">
    <w:name w:val="Обычный1"/>
    <w:rsid w:val="008003B5"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B2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B2A63"/>
  </w:style>
  <w:style w:type="paragraph" w:styleId="a6">
    <w:name w:val="footer"/>
    <w:basedOn w:val="a"/>
    <w:link w:val="a7"/>
    <w:uiPriority w:val="99"/>
    <w:unhideWhenUsed/>
    <w:rsid w:val="00DB2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B2A63"/>
  </w:style>
  <w:style w:type="paragraph" w:styleId="a8">
    <w:name w:val="List Paragraph"/>
    <w:basedOn w:val="a"/>
    <w:uiPriority w:val="34"/>
    <w:qFormat/>
    <w:rsid w:val="002C7550"/>
    <w:pPr>
      <w:ind w:left="720"/>
      <w:contextualSpacing/>
    </w:pPr>
  </w:style>
  <w:style w:type="character" w:customStyle="1" w:styleId="rvts23">
    <w:name w:val="rvts23"/>
    <w:rsid w:val="00CE1D83"/>
    <w:rPr>
      <w:rFonts w:cs="Times New Roman"/>
    </w:rPr>
  </w:style>
  <w:style w:type="paragraph" w:styleId="2">
    <w:name w:val="Body Text Indent 2"/>
    <w:basedOn w:val="a"/>
    <w:link w:val="20"/>
    <w:rsid w:val="00CE1D8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rsid w:val="00CE1D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A511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vps2">
    <w:name w:val="rvps2"/>
    <w:basedOn w:val="a"/>
    <w:rsid w:val="0030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anrvts15">
    <w:name w:val="span_rvts15"/>
    <w:rsid w:val="003F08FA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rvts15">
    <w:name w:val="rvts15"/>
    <w:rsid w:val="003F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2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55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58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987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1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62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4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26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99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82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6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7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96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14620</Words>
  <Characters>8334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Perepelytsia</dc:creator>
  <cp:keywords/>
  <cp:lastModifiedBy>Ауріка Анатоліївна Маліновська</cp:lastModifiedBy>
  <cp:revision>2</cp:revision>
  <dcterms:created xsi:type="dcterms:W3CDTF">2025-04-22T08:51:00Z</dcterms:created>
  <dcterms:modified xsi:type="dcterms:W3CDTF">2025-04-22T08:51:00Z</dcterms:modified>
</cp:coreProperties>
</file>