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bookmarkStart w:id="0" w:name="_slrwwkwy9oow" w:colFirst="0" w:colLast="0"/>
      <w:bookmarkEnd w:id="0"/>
      <w:r w:rsidRPr="00427734">
        <w:rPr>
          <w:b/>
          <w:bCs/>
          <w:sz w:val="28"/>
          <w:szCs w:val="28"/>
        </w:rPr>
        <w:t>АНАЛІЗ РЕГУЛЯТОРНОГО ВПЛИВУ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 xml:space="preserve">до </w:t>
      </w:r>
      <w:proofErr w:type="spellStart"/>
      <w:r w:rsidRPr="00427734">
        <w:rPr>
          <w:b/>
          <w:bCs/>
          <w:sz w:val="28"/>
          <w:szCs w:val="28"/>
        </w:rPr>
        <w:t>проєкту</w:t>
      </w:r>
      <w:proofErr w:type="spellEnd"/>
      <w:r w:rsidRPr="00427734">
        <w:rPr>
          <w:b/>
          <w:bCs/>
          <w:sz w:val="28"/>
          <w:szCs w:val="28"/>
        </w:rPr>
        <w:t xml:space="preserve"> постанови Кабінету Міністрів України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«Про внесення змін до деяких постанов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center"/>
        <w:rPr>
          <w:sz w:val="28"/>
          <w:szCs w:val="28"/>
        </w:rPr>
      </w:pPr>
      <w:bookmarkStart w:id="1" w:name="_qfqtpr2c1f9z" w:colFirst="0" w:colLast="0"/>
      <w:bookmarkEnd w:id="1"/>
      <w:r w:rsidRPr="00427734">
        <w:rPr>
          <w:b/>
          <w:bCs/>
          <w:sz w:val="28"/>
          <w:szCs w:val="28"/>
        </w:rPr>
        <w:t>Кабінету Міністрів України щодо врегулювання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питання заготівлі деревини»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 xml:space="preserve">(далі – </w:t>
      </w:r>
      <w:proofErr w:type="spellStart"/>
      <w:r w:rsidRPr="00427734">
        <w:rPr>
          <w:b/>
          <w:bCs/>
          <w:sz w:val="28"/>
          <w:szCs w:val="28"/>
        </w:rPr>
        <w:t>проєкт</w:t>
      </w:r>
      <w:proofErr w:type="spellEnd"/>
      <w:r w:rsidRPr="00427734">
        <w:rPr>
          <w:b/>
          <w:bCs/>
          <w:sz w:val="28"/>
          <w:szCs w:val="28"/>
        </w:rPr>
        <w:t xml:space="preserve"> </w:t>
      </w:r>
      <w:proofErr w:type="spellStart"/>
      <w:r w:rsidRPr="00427734">
        <w:rPr>
          <w:b/>
          <w:bCs/>
          <w:sz w:val="28"/>
          <w:szCs w:val="28"/>
        </w:rPr>
        <w:t>акта</w:t>
      </w:r>
      <w:proofErr w:type="spellEnd"/>
      <w:r w:rsidRPr="00427734">
        <w:rPr>
          <w:b/>
          <w:bCs/>
          <w:sz w:val="28"/>
          <w:szCs w:val="28"/>
        </w:rPr>
        <w:t>)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І. Визначення проблеми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Ведення лісового господарства на засадах сталого розвитку та на принципах наближеного до природи лісівництва має базуватися на глибокому розумінні природних особливостей українських лісів і враховувати складні динамічні </w:t>
      </w:r>
      <w:proofErr w:type="spellStart"/>
      <w:r w:rsidRPr="00427734">
        <w:rPr>
          <w:sz w:val="28"/>
          <w:szCs w:val="28"/>
        </w:rPr>
        <w:t>співзалежні</w:t>
      </w:r>
      <w:proofErr w:type="spellEnd"/>
      <w:r w:rsidRPr="00427734">
        <w:rPr>
          <w:sz w:val="28"/>
          <w:szCs w:val="28"/>
        </w:rPr>
        <w:t xml:space="preserve"> зв’язки між лісовою росл</w:t>
      </w:r>
      <w:r w:rsidRPr="00427734">
        <w:rPr>
          <w:sz w:val="28"/>
          <w:szCs w:val="28"/>
        </w:rPr>
        <w:t xml:space="preserve">инністю та навколишнім середовищем. Цьому сприятиме здійснення лісогосподарських заходів з урахуванням змін до </w:t>
      </w:r>
      <w:proofErr w:type="spellStart"/>
      <w:r w:rsidRPr="00427734">
        <w:rPr>
          <w:sz w:val="28"/>
          <w:szCs w:val="28"/>
        </w:rPr>
        <w:t>проєкту</w:t>
      </w:r>
      <w:proofErr w:type="spellEnd"/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Заходи з поліпшення санітарного стану лісів здійснюються власниками лісів, постійними лісокористувачами з метою оздоровлення насадж</w:t>
      </w:r>
      <w:r w:rsidRPr="00427734">
        <w:rPr>
          <w:sz w:val="28"/>
          <w:szCs w:val="28"/>
        </w:rPr>
        <w:t>ень у максимально стислі строки за умови недопущення негативного впливу на навколишнє природне середовище. Зазначені заходи є частиною комплексу профілактичних заходів, які здійснюються з метою збереження стійкості насаджень, запобігання розвитку патологіч</w:t>
      </w:r>
      <w:r w:rsidRPr="00427734">
        <w:rPr>
          <w:sz w:val="28"/>
          <w:szCs w:val="28"/>
        </w:rPr>
        <w:t>них процесів у лісі, зменшення шкоди, що завдається шкідниками, хворобами, але не враховано ліквідацію небезпечних подій та/або наслідків бойових дій, спричинених збройною агресією Російської Федерації проти України.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У процесі ведення лісового господарства</w:t>
      </w:r>
      <w:r w:rsidRPr="00427734">
        <w:rPr>
          <w:sz w:val="28"/>
          <w:szCs w:val="28"/>
        </w:rPr>
        <w:t xml:space="preserve"> слід застосовувати профілактику виникнення та поширення осередків шкідників і </w:t>
      </w:r>
      <w:proofErr w:type="spellStart"/>
      <w:r w:rsidRPr="00427734">
        <w:rPr>
          <w:sz w:val="28"/>
          <w:szCs w:val="28"/>
        </w:rPr>
        <w:t>хвороб</w:t>
      </w:r>
      <w:proofErr w:type="spellEnd"/>
      <w:r w:rsidRPr="00427734">
        <w:rPr>
          <w:sz w:val="28"/>
          <w:szCs w:val="28"/>
        </w:rPr>
        <w:t xml:space="preserve"> лісу, що включає викладання ловильних дерев, захист заготовленої деревини, проведення ґрунтових розкопок з виявлення шкідників, застосування репелентів і </w:t>
      </w:r>
      <w:proofErr w:type="spellStart"/>
      <w:r w:rsidRPr="00427734">
        <w:rPr>
          <w:sz w:val="28"/>
          <w:szCs w:val="28"/>
        </w:rPr>
        <w:t>феромонних</w:t>
      </w:r>
      <w:proofErr w:type="spellEnd"/>
      <w:r w:rsidRPr="00427734">
        <w:rPr>
          <w:sz w:val="28"/>
          <w:szCs w:val="28"/>
        </w:rPr>
        <w:t xml:space="preserve"> пасто</w:t>
      </w:r>
      <w:r w:rsidRPr="00427734">
        <w:rPr>
          <w:sz w:val="28"/>
          <w:szCs w:val="28"/>
        </w:rPr>
        <w:t xml:space="preserve">к, а також реалізацію біологічних методів захисту, зокрема охорону мурашників та облаштування штучних гніздівель, вирубування </w:t>
      </w:r>
      <w:proofErr w:type="spellStart"/>
      <w:r w:rsidRPr="00427734">
        <w:rPr>
          <w:sz w:val="28"/>
          <w:szCs w:val="28"/>
        </w:rPr>
        <w:t>свіжозаселених</w:t>
      </w:r>
      <w:proofErr w:type="spellEnd"/>
      <w:r w:rsidRPr="00427734">
        <w:rPr>
          <w:sz w:val="28"/>
          <w:szCs w:val="28"/>
        </w:rPr>
        <w:t xml:space="preserve"> короїдами дерев.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Профілактика виникнення та поширення осередків шкідників і </w:t>
      </w:r>
      <w:proofErr w:type="spellStart"/>
      <w:r w:rsidRPr="00427734">
        <w:rPr>
          <w:sz w:val="28"/>
          <w:szCs w:val="28"/>
        </w:rPr>
        <w:t>хвороб</w:t>
      </w:r>
      <w:proofErr w:type="spellEnd"/>
      <w:r w:rsidRPr="00427734">
        <w:rPr>
          <w:sz w:val="28"/>
          <w:szCs w:val="28"/>
        </w:rPr>
        <w:t xml:space="preserve"> лісу проводиться з урахуванням о</w:t>
      </w:r>
      <w:r w:rsidRPr="00427734">
        <w:rPr>
          <w:sz w:val="28"/>
          <w:szCs w:val="28"/>
        </w:rPr>
        <w:t>собливостей їх фенологічного і біологічного розвитку та результатів наукових досліджень.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Слід зазначити, що рубки небезпечних дерев (крім небезпечних дерев у зовнішніх зонах безпеки вздовж лісосік), здійснюються за зверненнями територіальних громад, юридич</w:t>
      </w:r>
      <w:r w:rsidRPr="00427734">
        <w:rPr>
          <w:sz w:val="28"/>
          <w:szCs w:val="28"/>
        </w:rPr>
        <w:t>них та/або фізичних осіб, поданими до постійного лісокористувача та/або власника лісів.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Відповідно рубки дерев і чагарників, пов’язані з доглядом за спеціальними зонами об’єктів енергетики, охоронними та санітарно-захисними зонами об’єктів нафтогазової гал</w:t>
      </w:r>
      <w:r w:rsidRPr="00427734">
        <w:rPr>
          <w:sz w:val="28"/>
          <w:szCs w:val="28"/>
        </w:rPr>
        <w:t xml:space="preserve">узі, охоронними зонами електронних комунікаційних мереж та об’єктів трубопровідного транспорту, охоронних зон пристроїв та об’єктів залізничного та автомобільного транспорту, в тому числі залізничних переїздів, а також пов’язані з </w:t>
      </w:r>
      <w:r w:rsidRPr="00427734">
        <w:rPr>
          <w:sz w:val="28"/>
          <w:szCs w:val="28"/>
        </w:rPr>
        <w:lastRenderedPageBreak/>
        <w:t>будівництвом об’єктів зал</w:t>
      </w:r>
      <w:r w:rsidRPr="00427734">
        <w:rPr>
          <w:sz w:val="28"/>
          <w:szCs w:val="28"/>
        </w:rPr>
        <w:t>ізничної та автодорожньої інфраструктури в межах смуги відведення залізниць та автомобільних доріг здійснюються за зверненнями операторів відповідних мереж та/або юридичних і фізичних осіб, діяльність яких безпосередньо стосується зазначених об’єктів.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Укра</w:t>
      </w:r>
      <w:r w:rsidRPr="00427734">
        <w:rPr>
          <w:sz w:val="28"/>
          <w:szCs w:val="28"/>
        </w:rPr>
        <w:t>їна активно підтримує міжнародні угоди та панєвропейські процеси щодо збереження й відтворення лісів, оскільки без глобальної інтеграції зусиль у цій справі неможливо досягти відчутних успіхів. Для ефективної співпраці з Європейським Союзом важливо гармоні</w:t>
      </w:r>
      <w:r w:rsidRPr="00427734">
        <w:rPr>
          <w:sz w:val="28"/>
          <w:szCs w:val="28"/>
        </w:rPr>
        <w:t xml:space="preserve">зувати методичні підходи й практичні засади в галузі охорони та збереження </w:t>
      </w:r>
      <w:proofErr w:type="spellStart"/>
      <w:r w:rsidRPr="00427734">
        <w:rPr>
          <w:sz w:val="28"/>
          <w:szCs w:val="28"/>
        </w:rPr>
        <w:t>біорізноманіття</w:t>
      </w:r>
      <w:proofErr w:type="spellEnd"/>
      <w:r w:rsidRPr="00427734">
        <w:rPr>
          <w:sz w:val="28"/>
          <w:szCs w:val="28"/>
        </w:rPr>
        <w:t xml:space="preserve"> лісів. Особливо це стосується запровадження принципів </w:t>
      </w:r>
      <w:proofErr w:type="spellStart"/>
      <w:r w:rsidRPr="00427734">
        <w:rPr>
          <w:sz w:val="28"/>
          <w:szCs w:val="28"/>
        </w:rPr>
        <w:t>Оселищної</w:t>
      </w:r>
      <w:proofErr w:type="spellEnd"/>
      <w:r w:rsidRPr="00427734">
        <w:rPr>
          <w:sz w:val="28"/>
          <w:szCs w:val="28"/>
        </w:rPr>
        <w:t xml:space="preserve"> Директиви (Директива Європейського Союзу 92/43/ЄEC. 1992; та Бернської конвенції (</w:t>
      </w:r>
      <w:proofErr w:type="spellStart"/>
      <w:r w:rsidRPr="00427734">
        <w:rPr>
          <w:sz w:val="28"/>
          <w:szCs w:val="28"/>
        </w:rPr>
        <w:t>Bern</w:t>
      </w:r>
      <w:proofErr w:type="spellEnd"/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Convention</w:t>
      </w:r>
      <w:proofErr w:type="spellEnd"/>
      <w:r w:rsidRPr="00427734">
        <w:rPr>
          <w:sz w:val="28"/>
          <w:szCs w:val="28"/>
        </w:rPr>
        <w:t>) (К</w:t>
      </w:r>
      <w:r w:rsidRPr="00427734">
        <w:rPr>
          <w:sz w:val="28"/>
          <w:szCs w:val="28"/>
        </w:rPr>
        <w:t>онвенція 1998). На шляху інтеграції зусиль країн Європейського Союзу і України у справі сталого управління лісами необхідним початковим етапом є узгодження українських та європейських підходів до ведення лісового господарства.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Враховуючи, що Україна активн</w:t>
      </w:r>
      <w:r w:rsidRPr="00427734">
        <w:rPr>
          <w:sz w:val="28"/>
          <w:szCs w:val="28"/>
        </w:rPr>
        <w:t xml:space="preserve">о підтримує та розвиває діяльність щодо узгодження національного законодавства із законодавством країн Європейського Союзу, запропонований </w:t>
      </w:r>
      <w:proofErr w:type="spellStart"/>
      <w:r w:rsidRPr="00427734">
        <w:rPr>
          <w:sz w:val="28"/>
          <w:szCs w:val="28"/>
        </w:rPr>
        <w:t>проєкт</w:t>
      </w:r>
      <w:proofErr w:type="spellEnd"/>
      <w:r w:rsidRPr="00427734">
        <w:rPr>
          <w:sz w:val="28"/>
          <w:szCs w:val="28"/>
        </w:rPr>
        <w:t xml:space="preserve"> акту врегулює питання підвищення продуктивності лісових насаджень, раціонального використання лісових ресурсів</w:t>
      </w:r>
      <w:r w:rsidRPr="00427734">
        <w:rPr>
          <w:sz w:val="28"/>
          <w:szCs w:val="28"/>
        </w:rPr>
        <w:t xml:space="preserve">, заготівлі деревини для народного господарства та потреб оборони і безпеки держави, компенсуючи втрати заготівлі деревини на </w:t>
      </w:r>
      <w:r w:rsidRPr="00427734">
        <w:rPr>
          <w:sz w:val="28"/>
          <w:szCs w:val="28"/>
        </w:rPr>
        <w:t>окупованих</w:t>
      </w:r>
      <w:r w:rsidRPr="00427734">
        <w:rPr>
          <w:sz w:val="28"/>
          <w:szCs w:val="28"/>
        </w:rPr>
        <w:t xml:space="preserve"> територіях та з обмеженим доступом.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center"/>
        <w:rPr>
          <w:sz w:val="28"/>
          <w:szCs w:val="28"/>
        </w:rPr>
      </w:pPr>
      <w:r w:rsidRPr="00427734">
        <w:rPr>
          <w:sz w:val="28"/>
          <w:szCs w:val="28"/>
        </w:rPr>
        <w:t>Основні групи (підгрупи), на які проблема справляє вплив</w:t>
      </w:r>
    </w:p>
    <w:tbl>
      <w:tblPr>
        <w:tblStyle w:val="a5"/>
        <w:tblW w:w="94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746"/>
        <w:gridCol w:w="1376"/>
        <w:gridCol w:w="1278"/>
      </w:tblGrid>
      <w:tr w:rsidR="00427734" w:rsidRPr="00427734"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2"/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Групи (підгрупи)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Так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Ні</w:t>
            </w:r>
          </w:p>
        </w:tc>
      </w:tr>
      <w:tr w:rsidR="00427734" w:rsidRPr="00427734"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2"/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Громадяни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+</w:t>
            </w:r>
          </w:p>
        </w:tc>
      </w:tr>
      <w:tr w:rsidR="00427734" w:rsidRPr="00427734"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2"/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Держава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+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  <w:jc w:val="center"/>
              <w:rPr>
                <w:sz w:val="24"/>
                <w:szCs w:val="24"/>
              </w:rPr>
            </w:pPr>
          </w:p>
        </w:tc>
      </w:tr>
      <w:tr w:rsidR="00427734" w:rsidRPr="00427734"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2"/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Суб’єкти господарювання,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+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  <w:jc w:val="center"/>
              <w:rPr>
                <w:sz w:val="24"/>
                <w:szCs w:val="24"/>
              </w:rPr>
            </w:pPr>
          </w:p>
        </w:tc>
      </w:tr>
      <w:tr w:rsidR="00427734" w:rsidRPr="00427734"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2"/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 тому числі суб’єкти малого підприємництва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+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Прийняття </w:t>
      </w:r>
      <w:proofErr w:type="spellStart"/>
      <w:r w:rsidRPr="00427734">
        <w:rPr>
          <w:sz w:val="28"/>
          <w:szCs w:val="28"/>
        </w:rPr>
        <w:t>проєкту</w:t>
      </w:r>
      <w:proofErr w:type="spellEnd"/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дозволить забезпечити деревиною національну економіку, соціальну сферу, населення та Збройні Сили України в умовах воєнного стану, чітко унормує вимоги щодо проведення санітарних рубок та видалення захаращеності, можливості оперативн</w:t>
      </w:r>
      <w:r w:rsidRPr="00427734">
        <w:rPr>
          <w:sz w:val="28"/>
          <w:szCs w:val="28"/>
        </w:rPr>
        <w:t>ої ліквідації наслідків збройної агресії РФ в лісовому фонді, визначити особливості проведення лісовідновних, реконструктивних рубок, рубок переформування та рідколісся, рівномірно-поступових рубок головного користування в лісах Карпатського регіону, прове</w:t>
      </w:r>
      <w:r w:rsidRPr="00427734">
        <w:rPr>
          <w:sz w:val="28"/>
          <w:szCs w:val="28"/>
        </w:rPr>
        <w:t>сти дерегуляцію окремих процедур під час здійснення заготівлі деревини та визначення і застосування механізму виправлення технічних помилок у лісорубних квитках, виданих в електронній формі.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Врегулювання зазначених проблемних питань не може бути вирішено з</w:t>
      </w:r>
      <w:r w:rsidRPr="00427734">
        <w:rPr>
          <w:sz w:val="28"/>
          <w:szCs w:val="28"/>
        </w:rPr>
        <w:t>а допомогою: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ринкових механізмів, оскільки вирішення проблеми можливе лише шляхом державного регулювання;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lastRenderedPageBreak/>
        <w:t xml:space="preserve">діючих регуляторних актів, оскільки законодавчі положення в галузі лісового господарства потребують уточнення та врегулювання порушених питань шляхом </w:t>
      </w:r>
      <w:r w:rsidRPr="00427734">
        <w:rPr>
          <w:sz w:val="28"/>
          <w:szCs w:val="28"/>
        </w:rPr>
        <w:t>внесення відповідних змін.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bookmarkStart w:id="2" w:name="_zawr46bs2eo2" w:colFirst="0" w:colLast="0"/>
      <w:bookmarkEnd w:id="2"/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ІI. Цілі державного регулювання</w:t>
      </w:r>
    </w:p>
    <w:p w:rsidR="00E97692" w:rsidRPr="00427734" w:rsidRDefault="00E976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jc w:val="center"/>
        <w:rPr>
          <w:sz w:val="28"/>
          <w:szCs w:val="28"/>
        </w:rPr>
      </w:pP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both"/>
        <w:rPr>
          <w:sz w:val="28"/>
          <w:szCs w:val="28"/>
        </w:rPr>
      </w:pPr>
      <w:proofErr w:type="spellStart"/>
      <w:r w:rsidRPr="00427734">
        <w:rPr>
          <w:sz w:val="28"/>
          <w:szCs w:val="28"/>
        </w:rPr>
        <w:t>Проєктом</w:t>
      </w:r>
      <w:proofErr w:type="spellEnd"/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запропоновано під час дії воєнного стану та протягом дванадцяти місяців з дня його припинення або скасування для усіх лісів, крім гірських лісів Карпатського регіону, призупинити дію деяких норм нормативно-правових актів стосовно зарахування </w:t>
      </w:r>
      <w:r w:rsidRPr="00427734">
        <w:rPr>
          <w:sz w:val="28"/>
          <w:szCs w:val="28"/>
        </w:rPr>
        <w:t xml:space="preserve">обсягів заготівлі від суцільних санітарних рубок у пристиглих, стиглих та перестійних </w:t>
      </w:r>
      <w:proofErr w:type="spellStart"/>
      <w:r w:rsidRPr="00427734">
        <w:rPr>
          <w:sz w:val="28"/>
          <w:szCs w:val="28"/>
        </w:rPr>
        <w:t>деревостанах</w:t>
      </w:r>
      <w:proofErr w:type="spellEnd"/>
      <w:r w:rsidRPr="00427734">
        <w:rPr>
          <w:sz w:val="28"/>
          <w:szCs w:val="28"/>
        </w:rPr>
        <w:t xml:space="preserve"> до обсягів використання розрахункових лісосік та фактично заготовленої деревини від рубок головного користування.</w:t>
      </w: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Деталізуються умови та вимоги щодо проведен</w:t>
      </w:r>
      <w:r w:rsidRPr="00427734">
        <w:rPr>
          <w:sz w:val="28"/>
          <w:szCs w:val="28"/>
        </w:rPr>
        <w:t>ня заходів з поліпшення санітарного стану лісів, а також можливість оперативної ліквідації наслідків збройної агресії Російської Федерації в лісовому фонді.</w:t>
      </w: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Вводиться практика формування в лісах мережі технологічних коридорів (трелювальних </w:t>
      </w:r>
      <w:proofErr w:type="spellStart"/>
      <w:r w:rsidRPr="00427734">
        <w:rPr>
          <w:sz w:val="28"/>
          <w:szCs w:val="28"/>
        </w:rPr>
        <w:t>волоків</w:t>
      </w:r>
      <w:proofErr w:type="spellEnd"/>
      <w:r w:rsidRPr="00427734">
        <w:rPr>
          <w:sz w:val="28"/>
          <w:szCs w:val="28"/>
        </w:rPr>
        <w:t>).</w:t>
      </w: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У зале</w:t>
      </w:r>
      <w:r w:rsidRPr="00427734">
        <w:rPr>
          <w:sz w:val="28"/>
          <w:szCs w:val="28"/>
        </w:rPr>
        <w:t>жності від віку стиглості та породного складу деревостану встановлюються чіткі вікові рамки проведення рубок догляду.</w:t>
      </w: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both"/>
        <w:rPr>
          <w:sz w:val="28"/>
          <w:szCs w:val="28"/>
        </w:rPr>
      </w:pPr>
      <w:proofErr w:type="spellStart"/>
      <w:r w:rsidRPr="00427734">
        <w:rPr>
          <w:sz w:val="28"/>
          <w:szCs w:val="28"/>
        </w:rPr>
        <w:t>Проєктом</w:t>
      </w:r>
      <w:proofErr w:type="spellEnd"/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запропоновані критерії віднесення дерев в насадженні під час проведення рубок до категорій кращих (цільових), допоміжних (ко</w:t>
      </w:r>
      <w:r w:rsidRPr="00427734">
        <w:rPr>
          <w:sz w:val="28"/>
          <w:szCs w:val="28"/>
        </w:rPr>
        <w:t>рисних) та тих, що підлягають вирубуванню.</w:t>
      </w: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Визначені особливості проведення лісовідновних, реконструктивних рубок та рубок переформування. Інші заходи з формування і оздоровлення лісів доповнюються новим видом рубки – рубка рідколісся.</w:t>
      </w: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У разі списання </w:t>
      </w:r>
      <w:proofErr w:type="spellStart"/>
      <w:r w:rsidRPr="00427734">
        <w:rPr>
          <w:sz w:val="28"/>
          <w:szCs w:val="28"/>
        </w:rPr>
        <w:t>лісо</w:t>
      </w:r>
      <w:r w:rsidRPr="00427734">
        <w:rPr>
          <w:sz w:val="28"/>
          <w:szCs w:val="28"/>
        </w:rPr>
        <w:t>насіннєвої</w:t>
      </w:r>
      <w:proofErr w:type="spellEnd"/>
      <w:r w:rsidRPr="00427734">
        <w:rPr>
          <w:sz w:val="28"/>
          <w:szCs w:val="28"/>
        </w:rPr>
        <w:t xml:space="preserve"> плантації передбачається суцільна вирубка дерев на ній з подальшим здійсненням заходів зі штучного відновлення лісів або створення нової </w:t>
      </w:r>
      <w:proofErr w:type="spellStart"/>
      <w:r w:rsidRPr="00427734">
        <w:rPr>
          <w:sz w:val="28"/>
          <w:szCs w:val="28"/>
        </w:rPr>
        <w:t>лісонасіннєвої</w:t>
      </w:r>
      <w:proofErr w:type="spellEnd"/>
      <w:r w:rsidRPr="00427734">
        <w:rPr>
          <w:sz w:val="28"/>
          <w:szCs w:val="28"/>
        </w:rPr>
        <w:t xml:space="preserve"> плантації.</w:t>
      </w: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both"/>
        <w:rPr>
          <w:sz w:val="28"/>
          <w:szCs w:val="28"/>
        </w:rPr>
      </w:pPr>
      <w:proofErr w:type="spellStart"/>
      <w:r w:rsidRPr="00427734">
        <w:rPr>
          <w:sz w:val="28"/>
          <w:szCs w:val="28"/>
        </w:rPr>
        <w:t>Проєктом</w:t>
      </w:r>
      <w:proofErr w:type="spellEnd"/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передбачена можливість проведення кінцевого прийому рівномірно-посту</w:t>
      </w:r>
      <w:r w:rsidRPr="00427734">
        <w:rPr>
          <w:sz w:val="28"/>
          <w:szCs w:val="28"/>
        </w:rPr>
        <w:t xml:space="preserve">пових рубок головного користування у </w:t>
      </w:r>
      <w:proofErr w:type="spellStart"/>
      <w:r w:rsidRPr="00427734">
        <w:rPr>
          <w:sz w:val="28"/>
          <w:szCs w:val="28"/>
        </w:rPr>
        <w:t>деревостанах</w:t>
      </w:r>
      <w:proofErr w:type="spellEnd"/>
      <w:r w:rsidRPr="00427734">
        <w:rPr>
          <w:sz w:val="28"/>
          <w:szCs w:val="28"/>
        </w:rPr>
        <w:t xml:space="preserve"> з повнотою 0,5 і менше у гірських лісах Карпатського регіону у разі наявності надійного підросту. Також зазначені умови проведення поступових рубок в мішаних </w:t>
      </w:r>
      <w:proofErr w:type="spellStart"/>
      <w:r w:rsidRPr="00427734">
        <w:rPr>
          <w:sz w:val="28"/>
          <w:szCs w:val="28"/>
        </w:rPr>
        <w:t>деревостанах</w:t>
      </w:r>
      <w:proofErr w:type="spellEnd"/>
      <w:r w:rsidRPr="00427734">
        <w:rPr>
          <w:sz w:val="28"/>
          <w:szCs w:val="28"/>
        </w:rPr>
        <w:t>.</w:t>
      </w:r>
    </w:p>
    <w:p w:rsidR="00E97692" w:rsidRPr="00427734" w:rsidRDefault="00BF1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Для унормування питання внесення в</w:t>
      </w:r>
      <w:r w:rsidRPr="00427734">
        <w:rPr>
          <w:sz w:val="28"/>
          <w:szCs w:val="28"/>
        </w:rPr>
        <w:t>иправлень до виданих лісорубних квитків в електронній формі у разі виявлення в них технічної помилки, яка допущена органом, що видав його, або внаслідок системного технічного збою Єдиної екологічної платформи «</w:t>
      </w:r>
      <w:proofErr w:type="spellStart"/>
      <w:r w:rsidRPr="00427734">
        <w:rPr>
          <w:sz w:val="28"/>
          <w:szCs w:val="28"/>
        </w:rPr>
        <w:t>ЕкоСистема</w:t>
      </w:r>
      <w:proofErr w:type="spellEnd"/>
      <w:r w:rsidRPr="00427734">
        <w:rPr>
          <w:sz w:val="28"/>
          <w:szCs w:val="28"/>
        </w:rPr>
        <w:t xml:space="preserve">» та/або Порталу Дія, </w:t>
      </w:r>
      <w:proofErr w:type="spellStart"/>
      <w:r w:rsidRPr="00427734">
        <w:rPr>
          <w:sz w:val="28"/>
          <w:szCs w:val="28"/>
        </w:rPr>
        <w:t>проєктом</w:t>
      </w:r>
      <w:proofErr w:type="spellEnd"/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</w:t>
      </w:r>
      <w:r w:rsidRPr="00427734">
        <w:rPr>
          <w:sz w:val="28"/>
          <w:szCs w:val="28"/>
        </w:rPr>
        <w:t>запропоновано механізм внесення таких виправлень.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Отже </w:t>
      </w:r>
      <w:r w:rsidRPr="00427734">
        <w:rPr>
          <w:sz w:val="28"/>
          <w:szCs w:val="28"/>
        </w:rPr>
        <w:t>цілями державного регулювання є: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підвищення продуктивності лісових насаджень та раціональне використання лісових ресурсів;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забезпечення ведення лісового господарства на засадах сталого розвитку та на принципах наближеного до природи лісівництва;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lastRenderedPageBreak/>
        <w:t>забезпечення адаптації законодавства України до законодавства Європейського Союзу.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spellStart"/>
      <w:r w:rsidRPr="00427734">
        <w:rPr>
          <w:sz w:val="28"/>
          <w:szCs w:val="28"/>
        </w:rPr>
        <w:t>Проєкт</w:t>
      </w:r>
      <w:proofErr w:type="spellEnd"/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розроблено на виконання підпункту 2 пу</w:t>
      </w:r>
      <w:r w:rsidRPr="00427734">
        <w:rPr>
          <w:sz w:val="28"/>
          <w:szCs w:val="28"/>
        </w:rPr>
        <w:t>нкту 258 Плану пріоритетних дій Уряду на 2026 рік, затвердженого розпорядженням Кабінету Міністрів України від 30.03.2026 № 306-р.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ІІІ. Визначення та оцінка альтернативних способів досягнення цілей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532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sz w:val="28"/>
          <w:szCs w:val="28"/>
        </w:rPr>
        <w:t>1. Визначення альтернативних способів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tbl>
      <w:tblPr>
        <w:tblStyle w:val="a6"/>
        <w:tblW w:w="93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40"/>
        <w:gridCol w:w="7020"/>
      </w:tblGrid>
      <w:tr w:rsidR="00427734" w:rsidRPr="00427734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Вид альтернативи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Опис альтернативи</w:t>
            </w:r>
          </w:p>
          <w:p w:rsidR="00E97692" w:rsidRPr="00427734" w:rsidRDefault="00E9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</w:tr>
      <w:tr w:rsidR="00427734" w:rsidRPr="00427734">
        <w:trPr>
          <w:trHeight w:val="703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1 –</w:t>
            </w:r>
          </w:p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збереження </w:t>
            </w:r>
            <w:proofErr w:type="spellStart"/>
            <w:r w:rsidRPr="00427734">
              <w:rPr>
                <w:sz w:val="24"/>
                <w:szCs w:val="24"/>
              </w:rPr>
              <w:t>status</w:t>
            </w:r>
            <w:proofErr w:type="spellEnd"/>
            <w:r w:rsidRPr="00427734">
              <w:rPr>
                <w:sz w:val="24"/>
                <w:szCs w:val="24"/>
              </w:rPr>
              <w:t xml:space="preserve"> </w:t>
            </w:r>
            <w:proofErr w:type="spellStart"/>
            <w:r w:rsidRPr="00427734">
              <w:rPr>
                <w:sz w:val="24"/>
                <w:szCs w:val="24"/>
              </w:rPr>
              <w:t>quo</w:t>
            </w:r>
            <w:proofErr w:type="spellEnd"/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Альтернатива є неприйнятною оскільки </w:t>
            </w:r>
            <w:r w:rsidRPr="00427734">
              <w:rPr>
                <w:sz w:val="24"/>
                <w:szCs w:val="24"/>
              </w:rPr>
              <w:t xml:space="preserve">діючі нормативно-правові акти не дають змогу забезпечити збільшення обсягів заготівлі деревини в лісах України та суттєво обмежують обсяги проведення складних способів рубок головного користування (поступових та вибіркових), які в повній мірі забезпечують </w:t>
            </w:r>
            <w:r w:rsidRPr="00427734">
              <w:rPr>
                <w:sz w:val="24"/>
                <w:szCs w:val="24"/>
              </w:rPr>
              <w:t xml:space="preserve">стале лісокористування. Також не прийняття </w:t>
            </w:r>
            <w:proofErr w:type="spellStart"/>
            <w:r w:rsidRPr="00427734">
              <w:rPr>
                <w:sz w:val="24"/>
                <w:szCs w:val="24"/>
              </w:rPr>
              <w:t>проєкту</w:t>
            </w:r>
            <w:proofErr w:type="spellEnd"/>
            <w:r w:rsidRPr="00427734">
              <w:rPr>
                <w:sz w:val="24"/>
                <w:szCs w:val="24"/>
              </w:rPr>
              <w:t xml:space="preserve">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  <w:r w:rsidRPr="00427734">
              <w:rPr>
                <w:sz w:val="24"/>
                <w:szCs w:val="24"/>
              </w:rPr>
              <w:t xml:space="preserve"> </w:t>
            </w:r>
            <w:r w:rsidRPr="00427734">
              <w:rPr>
                <w:sz w:val="24"/>
                <w:szCs w:val="24"/>
              </w:rPr>
              <w:t xml:space="preserve">не відповідає Указу Президента України від 30 вересня 2019 року № 722/2019 «Про Цілі сталого розвитку України на період до 2030 року </w:t>
            </w:r>
            <w:r w:rsidRPr="00427734">
              <w:rPr>
                <w:sz w:val="24"/>
                <w:szCs w:val="24"/>
              </w:rPr>
              <w:t>та Плану пріоритетних дій Уряду на 2026 рік</w:t>
            </w:r>
          </w:p>
        </w:tc>
      </w:tr>
      <w:tr w:rsidR="00427734" w:rsidRPr="00427734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2 –</w:t>
            </w:r>
          </w:p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bookmarkStart w:id="3" w:name="_hekjd7kelxa0" w:colFirst="0" w:colLast="0"/>
            <w:bookmarkEnd w:id="3"/>
            <w:r w:rsidRPr="00427734">
              <w:rPr>
                <w:sz w:val="24"/>
                <w:szCs w:val="24"/>
              </w:rPr>
              <w:t xml:space="preserve">прийняття </w:t>
            </w:r>
            <w:proofErr w:type="spellStart"/>
            <w:r w:rsidRPr="00427734">
              <w:rPr>
                <w:sz w:val="24"/>
                <w:szCs w:val="24"/>
              </w:rPr>
              <w:t>проєкту</w:t>
            </w:r>
            <w:proofErr w:type="spellEnd"/>
            <w:r w:rsidRPr="00427734">
              <w:rPr>
                <w:sz w:val="24"/>
                <w:szCs w:val="24"/>
              </w:rPr>
              <w:t xml:space="preserve">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- забезпечить ведення лісового господарства на засадах сталого розвитку та на принципах наближеного до природи лісівництва</w:t>
            </w:r>
            <w:r w:rsidRPr="00427734">
              <w:rPr>
                <w:sz w:val="24"/>
                <w:szCs w:val="24"/>
              </w:rPr>
              <w:t>, підвищить продуктивності лісових екосистем та створить умови для раціонального використання лісових ресурсів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sz w:val="28"/>
          <w:szCs w:val="28"/>
        </w:rPr>
        <w:t>2. Оцінка вибраних альтернативних способів досягнення цілей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sz w:val="28"/>
          <w:szCs w:val="28"/>
        </w:rPr>
        <w:t>Оцінка впливу на сферу інтересів держави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tbl>
      <w:tblPr>
        <w:tblStyle w:val="a7"/>
        <w:tblW w:w="93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40"/>
        <w:gridCol w:w="3467"/>
        <w:gridCol w:w="3853"/>
      </w:tblGrid>
      <w:tr w:rsidR="00427734" w:rsidRPr="00427734">
        <w:trPr>
          <w:trHeight w:val="26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68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Вид альтернативи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Вигоди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</w:t>
            </w:r>
          </w:p>
        </w:tc>
      </w:tr>
      <w:tr w:rsidR="00427734" w:rsidRPr="00427734">
        <w:trPr>
          <w:trHeight w:val="283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68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1 – збереження ситуації, яка існує на цей час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8" w:hanging="26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Відсутні, обмежує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8" w:hanging="26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якісне проектування лісовпорядними організаціями лісогосподарських заходів;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8" w:hanging="26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не розроблені окремі механізми підвищення продуктивності лісових насаджень, раціонального використання </w:t>
            </w:r>
            <w:r w:rsidRPr="00427734">
              <w:rPr>
                <w:sz w:val="24"/>
                <w:szCs w:val="24"/>
              </w:rPr>
              <w:t>лісових ресурсів.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Неможливість здійснювати постійними лісокористувачами використання лісових ресурсів з урахуванням стану та перспектив економічного і соціального розвитку регіону, безперервності та </w:t>
            </w:r>
            <w:proofErr w:type="spellStart"/>
            <w:r w:rsidRPr="00427734">
              <w:rPr>
                <w:sz w:val="24"/>
                <w:szCs w:val="24"/>
              </w:rPr>
              <w:t>невиснажливості</w:t>
            </w:r>
            <w:proofErr w:type="spellEnd"/>
            <w:r w:rsidRPr="00427734">
              <w:rPr>
                <w:sz w:val="24"/>
                <w:szCs w:val="24"/>
              </w:rPr>
              <w:t>, внаслідок чого держава втрачає надходжен</w:t>
            </w:r>
            <w:r w:rsidRPr="00427734">
              <w:rPr>
                <w:sz w:val="24"/>
                <w:szCs w:val="24"/>
              </w:rPr>
              <w:t xml:space="preserve">ня коштів до усіх рівнів бюджетів, </w:t>
            </w:r>
            <w:r w:rsidRPr="00427734">
              <w:rPr>
                <w:sz w:val="24"/>
                <w:szCs w:val="24"/>
              </w:rPr>
              <w:t>наявність правової неурегульованості дозволяє двояке трактування норм лісового законодавства, що негативно впливає на імідж держави, в тому числі й на міжнародній арені</w:t>
            </w:r>
          </w:p>
        </w:tc>
      </w:tr>
      <w:tr w:rsidR="00427734" w:rsidRPr="00427734">
        <w:trPr>
          <w:trHeight w:val="563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68"/>
              <w:rPr>
                <w:sz w:val="24"/>
                <w:szCs w:val="24"/>
              </w:rPr>
            </w:pPr>
            <w:bookmarkStart w:id="4" w:name="_s2jjm9a3dvt7" w:colFirst="0" w:colLast="0"/>
            <w:bookmarkEnd w:id="4"/>
            <w:r w:rsidRPr="00427734">
              <w:rPr>
                <w:sz w:val="24"/>
                <w:szCs w:val="24"/>
              </w:rPr>
              <w:lastRenderedPageBreak/>
              <w:t xml:space="preserve">Альтернатива 2 – прийняття проекту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8" w:hanging="26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Забезпечить адаптацію законодавства України до законодавства Європейського Союзу та врегулює питання заготівлі деревини, підвищення продуктивності лісових насаджень, раціонального використання лісових ресурсів, </w:t>
            </w:r>
            <w:r w:rsidRPr="00427734">
              <w:rPr>
                <w:sz w:val="24"/>
                <w:szCs w:val="24"/>
              </w:rPr>
              <w:t>адаптації лісового середовища до змін клімату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68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Бюджетні витрати </w:t>
            </w:r>
            <w:r w:rsidRPr="00427734">
              <w:rPr>
                <w:sz w:val="24"/>
                <w:szCs w:val="24"/>
              </w:rPr>
              <w:t>(</w:t>
            </w:r>
            <w:proofErr w:type="spellStart"/>
            <w:r w:rsidRPr="00427734">
              <w:rPr>
                <w:sz w:val="24"/>
                <w:szCs w:val="24"/>
              </w:rPr>
              <w:t>Держпродспоживслужби</w:t>
            </w:r>
            <w:proofErr w:type="spellEnd"/>
            <w:r w:rsidRPr="00427734">
              <w:rPr>
                <w:sz w:val="24"/>
                <w:szCs w:val="24"/>
              </w:rPr>
              <w:t>)</w:t>
            </w:r>
            <w:r w:rsidRPr="00427734">
              <w:rPr>
                <w:sz w:val="24"/>
                <w:szCs w:val="24"/>
              </w:rPr>
              <w:t xml:space="preserve">  на адміністрування регулювання суб’єктів малого підприємництва (</w:t>
            </w:r>
            <w:r w:rsidRPr="00427734">
              <w:rPr>
                <w:sz w:val="24"/>
                <w:szCs w:val="24"/>
              </w:rPr>
              <w:t xml:space="preserve">залучення представника </w:t>
            </w:r>
            <w:proofErr w:type="spellStart"/>
            <w:r w:rsidRPr="00427734">
              <w:rPr>
                <w:sz w:val="24"/>
                <w:szCs w:val="24"/>
              </w:rPr>
              <w:t>Держпродспоживслужби</w:t>
            </w:r>
            <w:proofErr w:type="spellEnd"/>
            <w:r w:rsidRPr="00427734">
              <w:rPr>
                <w:sz w:val="24"/>
                <w:szCs w:val="24"/>
              </w:rPr>
              <w:t xml:space="preserve"> до роботи комісії</w:t>
            </w:r>
            <w:r w:rsidRPr="00427734">
              <w:rPr>
                <w:sz w:val="24"/>
                <w:szCs w:val="24"/>
              </w:rPr>
              <w:t>) становить: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68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на один рік – 3752000 грн;</w:t>
            </w:r>
            <w:r w:rsidRPr="00427734">
              <w:rPr>
                <w:sz w:val="24"/>
                <w:szCs w:val="24"/>
              </w:rPr>
              <w:tab/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68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на 5 років – 18760000 грн.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sz w:val="28"/>
          <w:szCs w:val="28"/>
        </w:rPr>
        <w:t>Оцінка впливу на сферу інтересів суб’єктів господарювання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tbl>
      <w:tblPr>
        <w:tblStyle w:val="a8"/>
        <w:tblW w:w="93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99"/>
        <w:gridCol w:w="1122"/>
        <w:gridCol w:w="1223"/>
        <w:gridCol w:w="1332"/>
        <w:gridCol w:w="1248"/>
        <w:gridCol w:w="872"/>
      </w:tblGrid>
      <w:tr w:rsidR="00427734" w:rsidRPr="00427734"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Показник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Великі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Середні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Малі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Мікро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Разом</w:t>
            </w:r>
          </w:p>
        </w:tc>
      </w:tr>
      <w:tr w:rsidR="00427734" w:rsidRPr="00427734"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Кількість суб’єктів господарювання (власники лісів, постійні лісокористувачі), що підпадають під дію регулювання*, одиниць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29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87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382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499</w:t>
            </w:r>
          </w:p>
        </w:tc>
      </w:tr>
      <w:tr w:rsidR="00427734" w:rsidRPr="00427734"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Питома вага групи у загальній кількості, відсотків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0,2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5,8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17,4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76,6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</w:t>
            </w:r>
          </w:p>
        </w:tc>
      </w:tr>
    </w:tbl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4"/>
          <w:szCs w:val="24"/>
        </w:rPr>
      </w:pPr>
      <w:r w:rsidRPr="00427734">
        <w:rPr>
          <w:sz w:val="24"/>
          <w:szCs w:val="24"/>
        </w:rPr>
        <w:t xml:space="preserve">* суб’єкти господарювання, що здійснюють господарську діяльність за </w:t>
      </w:r>
      <w:r w:rsidRPr="00427734">
        <w:rPr>
          <w:sz w:val="24"/>
          <w:szCs w:val="24"/>
        </w:rPr>
        <w:br/>
      </w:r>
      <w:r w:rsidRPr="00427734">
        <w:rPr>
          <w:sz w:val="24"/>
          <w:szCs w:val="24"/>
        </w:rPr>
        <w:t xml:space="preserve">КВЕД 02.10 (Лісівництво та інша діяльність у лісовому господарстві) згідно з даними </w:t>
      </w:r>
      <w:proofErr w:type="spellStart"/>
      <w:r w:rsidRPr="00427734">
        <w:rPr>
          <w:sz w:val="24"/>
          <w:szCs w:val="24"/>
        </w:rPr>
        <w:t>Держстату</w:t>
      </w:r>
      <w:proofErr w:type="spellEnd"/>
      <w:r w:rsidRPr="00427734">
        <w:rPr>
          <w:sz w:val="24"/>
          <w:szCs w:val="24"/>
        </w:rPr>
        <w:t xml:space="preserve"> (https://www.ukrstat.gov.ua/)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tbl>
      <w:tblPr>
        <w:tblStyle w:val="a9"/>
        <w:tblW w:w="93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89"/>
        <w:gridCol w:w="4030"/>
        <w:gridCol w:w="3441"/>
      </w:tblGrid>
      <w:tr w:rsidR="00427734" w:rsidRPr="00427734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Вид альтернативи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Вигоди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</w:t>
            </w:r>
          </w:p>
        </w:tc>
      </w:tr>
      <w:tr w:rsidR="00427734" w:rsidRPr="00427734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1 – збереження ситуації, яка існує на цей час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8" w:hanging="26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Відсутні. Проблема залишається невирішеною. Існує ризик не якісного проектування лісовпорядними організаціями лісогосподарських заходів, зниження продуктивності лісових насаджень, нераціонального використання лісових ресурсів, </w:t>
            </w:r>
            <w:r w:rsidRPr="00427734">
              <w:rPr>
                <w:sz w:val="24"/>
                <w:szCs w:val="24"/>
              </w:rPr>
              <w:t>неможливості оперативного</w:t>
            </w:r>
            <w:r w:rsidRPr="00427734">
              <w:rPr>
                <w:sz w:val="24"/>
                <w:szCs w:val="24"/>
              </w:rPr>
              <w:t xml:space="preserve"> </w:t>
            </w:r>
            <w:r w:rsidRPr="00427734">
              <w:rPr>
                <w:sz w:val="24"/>
                <w:szCs w:val="24"/>
              </w:rPr>
              <w:t>реа</w:t>
            </w:r>
            <w:r w:rsidRPr="00427734">
              <w:rPr>
                <w:sz w:val="24"/>
                <w:szCs w:val="24"/>
              </w:rPr>
              <w:t xml:space="preserve">гування на виникнення та поширення осередків </w:t>
            </w:r>
            <w:proofErr w:type="spellStart"/>
            <w:r w:rsidRPr="00427734">
              <w:rPr>
                <w:sz w:val="24"/>
                <w:szCs w:val="24"/>
              </w:rPr>
              <w:t>хвороб</w:t>
            </w:r>
            <w:proofErr w:type="spellEnd"/>
            <w:r w:rsidRPr="00427734">
              <w:rPr>
                <w:sz w:val="24"/>
                <w:szCs w:val="24"/>
              </w:rPr>
              <w:t xml:space="preserve"> та шкідників лісу (в тому числі карантинних) спричинених, серед іншого, збройною агресією РФ проти України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Неможливість якісного </w:t>
            </w:r>
            <w:r w:rsidRPr="00427734">
              <w:rPr>
                <w:sz w:val="24"/>
                <w:szCs w:val="24"/>
              </w:rPr>
              <w:t>та вчасного</w:t>
            </w:r>
            <w:r w:rsidRPr="00427734">
              <w:rPr>
                <w:sz w:val="24"/>
                <w:szCs w:val="24"/>
              </w:rPr>
              <w:t xml:space="preserve"> виконання в повному обсязі лісогосподарських заходів. </w:t>
            </w:r>
            <w:r w:rsidRPr="00427734">
              <w:rPr>
                <w:sz w:val="24"/>
                <w:szCs w:val="24"/>
              </w:rPr>
              <w:t>Для суб’є</w:t>
            </w:r>
            <w:r w:rsidRPr="00427734">
              <w:rPr>
                <w:sz w:val="24"/>
                <w:szCs w:val="24"/>
              </w:rPr>
              <w:t>ктів господарювання (постійних лісокористувачів) існує ймовірність зниження продуктивності лісових насаджень, що в результаті призведе до зменшення об’єму заготівлі деревини та недоотримання коштів бюджетами різних рівнів.</w:t>
            </w:r>
          </w:p>
        </w:tc>
      </w:tr>
      <w:tr w:rsidR="00427734" w:rsidRPr="00427734">
        <w:trPr>
          <w:trHeight w:val="279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Альтернатива 2 – прийняття проекту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19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Забезпечить ведення лісового господарства на засадах сталого розвитку та на принципах наближеного до природи лісівництва, а також адаптацію законодавства України до законодавства Європейського Союзу </w:t>
            </w:r>
            <w:r w:rsidRPr="00427734">
              <w:rPr>
                <w:sz w:val="24"/>
                <w:szCs w:val="24"/>
              </w:rPr>
              <w:lastRenderedPageBreak/>
              <w:t>та врегулює питання заготівлі деревини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/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lastRenderedPageBreak/>
              <w:t>Витрати розрахован</w:t>
            </w:r>
            <w:r w:rsidRPr="00427734">
              <w:rPr>
                <w:sz w:val="24"/>
                <w:szCs w:val="24"/>
              </w:rPr>
              <w:t>і з урахуванням орієнтовної кількості годин та кількості дій, які будуть витрачатись суб’єктом господарювання.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/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Розрахунки подано в Додатку 1 та Додатку 2. </w:t>
            </w:r>
            <w:r w:rsidRPr="00427734">
              <w:rPr>
                <w:sz w:val="24"/>
                <w:szCs w:val="24"/>
              </w:rPr>
              <w:t xml:space="preserve">Зокрема це </w:t>
            </w:r>
            <w:r w:rsidRPr="00427734">
              <w:rPr>
                <w:sz w:val="24"/>
                <w:szCs w:val="24"/>
              </w:rPr>
              <w:lastRenderedPageBreak/>
              <w:t>експлуатаційні витрати (витратні матеріали), пов’язані з підготовкою копій таксаційних опи</w:t>
            </w:r>
            <w:r w:rsidRPr="00427734">
              <w:rPr>
                <w:sz w:val="24"/>
                <w:szCs w:val="24"/>
              </w:rPr>
              <w:t xml:space="preserve">сів, планово-картографічних матеріалів лісовпорядкування тощо, із складання актів обстежень та виконання інших процедур, передбачених </w:t>
            </w:r>
            <w:proofErr w:type="spellStart"/>
            <w:r w:rsidRPr="00427734">
              <w:rPr>
                <w:sz w:val="24"/>
                <w:szCs w:val="24"/>
              </w:rPr>
              <w:t>проєктом</w:t>
            </w:r>
            <w:proofErr w:type="spellEnd"/>
            <w:r w:rsidRPr="00427734">
              <w:rPr>
                <w:sz w:val="24"/>
                <w:szCs w:val="24"/>
              </w:rPr>
              <w:t xml:space="preserve"> цього регуляторного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  <w:r w:rsidRPr="00427734">
              <w:rPr>
                <w:sz w:val="24"/>
                <w:szCs w:val="24"/>
              </w:rPr>
              <w:t>.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Для суб’єктів великого і середнього підприємництва: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1 рік – 3061560 грн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5 років –</w:t>
            </w:r>
            <w:r w:rsidRPr="00427734">
              <w:rPr>
                <w:sz w:val="24"/>
                <w:szCs w:val="24"/>
              </w:rPr>
              <w:t xml:space="preserve"> 15301560 грн;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для суб’єктів малого та </w:t>
            </w:r>
            <w:proofErr w:type="spellStart"/>
            <w:r w:rsidRPr="00427734">
              <w:rPr>
                <w:sz w:val="24"/>
                <w:szCs w:val="24"/>
              </w:rPr>
              <w:t>мікропідприємництва</w:t>
            </w:r>
            <w:proofErr w:type="spellEnd"/>
            <w:r w:rsidRPr="00427734">
              <w:rPr>
                <w:sz w:val="24"/>
                <w:szCs w:val="24"/>
              </w:rPr>
              <w:t>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1 рік – 1054312 грн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за 5 років – </w:t>
            </w:r>
            <w:r w:rsidRPr="00427734">
              <w:rPr>
                <w:rFonts w:ascii="Calibri" w:eastAsia="Calibri" w:hAnsi="Calibri" w:cs="Calibri"/>
                <w:sz w:val="24"/>
                <w:szCs w:val="24"/>
              </w:rPr>
              <w:t>5174008</w:t>
            </w:r>
            <w:r w:rsidRPr="0042773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427734">
              <w:rPr>
                <w:sz w:val="24"/>
                <w:szCs w:val="24"/>
              </w:rPr>
              <w:t>грн.</w:t>
            </w:r>
          </w:p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/>
              <w:jc w:val="both"/>
              <w:rPr>
                <w:sz w:val="24"/>
                <w:szCs w:val="24"/>
              </w:rPr>
            </w:pP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Сумарні витрати суб’єктів господарювання великого і середнього підприємництва (згідно з додатком 2 до Методики проведення аналізу впливу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).</w:t>
      </w:r>
    </w:p>
    <w:tbl>
      <w:tblPr>
        <w:tblStyle w:val="aa"/>
        <w:tblW w:w="93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909"/>
        <w:gridCol w:w="5475"/>
      </w:tblGrid>
      <w:tr w:rsidR="00427734" w:rsidRPr="00427734">
        <w:trPr>
          <w:trHeight w:val="747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Сумарні витрати за альтернативами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Сума витрат, грн</w:t>
            </w:r>
          </w:p>
        </w:tc>
      </w:tr>
      <w:tr w:rsidR="00427734" w:rsidRPr="00427734"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Альтернатива 1. 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«Залишення ситуації без змін»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 w:rsidP="00225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Неможливість якісного та вчасного виконання в повному обсязі лісогосподарських заходів.</w:t>
            </w:r>
            <w:r w:rsidRPr="00427734">
              <w:rPr>
                <w:sz w:val="24"/>
                <w:szCs w:val="24"/>
              </w:rPr>
              <w:t xml:space="preserve"> Для суб’єктів господарювання (постійних лісокористувачів) існує ймовірність зниження продуктивності лісових насаджень, що в результаті призведе до зменшення об’єму заготівлі деревини та недоотримання коштів бюджетами різних рівнів</w:t>
            </w:r>
            <w:r w:rsidR="0022552A" w:rsidRPr="00427734">
              <w:rPr>
                <w:sz w:val="24"/>
                <w:szCs w:val="24"/>
                <w:lang w:val="uk-UA"/>
              </w:rPr>
              <w:t>.</w:t>
            </w:r>
            <w:r w:rsidRPr="00427734">
              <w:rPr>
                <w:sz w:val="24"/>
                <w:szCs w:val="24"/>
              </w:rPr>
              <w:t xml:space="preserve"> </w:t>
            </w:r>
            <w:r w:rsidR="0022552A" w:rsidRPr="00427734">
              <w:rPr>
                <w:sz w:val="24"/>
                <w:szCs w:val="24"/>
                <w:lang w:val="uk-UA"/>
              </w:rPr>
              <w:t>К</w:t>
            </w:r>
            <w:proofErr w:type="spellStart"/>
            <w:r w:rsidRPr="00427734">
              <w:rPr>
                <w:sz w:val="24"/>
                <w:szCs w:val="24"/>
              </w:rPr>
              <w:t>ількісний</w:t>
            </w:r>
            <w:proofErr w:type="spellEnd"/>
            <w:r w:rsidRPr="00427734">
              <w:rPr>
                <w:sz w:val="24"/>
                <w:szCs w:val="24"/>
              </w:rPr>
              <w:t xml:space="preserve"> підрахунок н</w:t>
            </w:r>
            <w:r w:rsidR="0022552A" w:rsidRPr="00427734">
              <w:rPr>
                <w:sz w:val="24"/>
                <w:szCs w:val="24"/>
              </w:rPr>
              <w:t xml:space="preserve">еможливо здійснити, оскільки відсутня </w:t>
            </w:r>
            <w:r w:rsidR="0022552A" w:rsidRPr="00427734">
              <w:rPr>
                <w:sz w:val="24"/>
                <w:szCs w:val="24"/>
                <w:lang w:val="uk-UA"/>
              </w:rPr>
              <w:t xml:space="preserve">методологія проведення </w:t>
            </w:r>
            <w:r w:rsidR="0022552A" w:rsidRPr="00427734">
              <w:rPr>
                <w:sz w:val="24"/>
                <w:szCs w:val="24"/>
              </w:rPr>
              <w:t>таких</w:t>
            </w:r>
            <w:r w:rsidR="0022552A" w:rsidRPr="00427734">
              <w:rPr>
                <w:sz w:val="24"/>
                <w:szCs w:val="24"/>
                <w:lang w:val="uk-UA"/>
              </w:rPr>
              <w:t xml:space="preserve"> розрахунків</w:t>
            </w:r>
            <w:r w:rsidRPr="00427734">
              <w:rPr>
                <w:sz w:val="24"/>
                <w:szCs w:val="24"/>
              </w:rPr>
              <w:t>.</w:t>
            </w:r>
          </w:p>
        </w:tc>
      </w:tr>
      <w:tr w:rsidR="00427734" w:rsidRPr="00427734"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Альтернатива 2.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«Прийняття </w:t>
            </w:r>
            <w:proofErr w:type="spellStart"/>
            <w:r w:rsidRPr="00427734">
              <w:rPr>
                <w:sz w:val="24"/>
                <w:szCs w:val="24"/>
              </w:rPr>
              <w:t>проєкту</w:t>
            </w:r>
            <w:proofErr w:type="spellEnd"/>
            <w:r w:rsidRPr="00427734">
              <w:rPr>
                <w:sz w:val="24"/>
                <w:szCs w:val="24"/>
              </w:rPr>
              <w:t xml:space="preserve"> постанови» </w:t>
            </w:r>
            <w:r w:rsidRPr="00427734">
              <w:rPr>
                <w:sz w:val="24"/>
                <w:szCs w:val="24"/>
              </w:rPr>
              <w:t xml:space="preserve">(рядок 11 таблиці «Витрати на одного суб’єкта господарювання великого і середнього підприємництва, які виникають внаслідок дії регуляторного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  <w:r w:rsidRPr="00427734">
              <w:rPr>
                <w:sz w:val="24"/>
                <w:szCs w:val="24"/>
              </w:rPr>
              <w:t>»)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Для суб’єктів великого і се</w:t>
            </w:r>
            <w:r w:rsidRPr="00427734">
              <w:rPr>
                <w:sz w:val="24"/>
                <w:szCs w:val="24"/>
              </w:rPr>
              <w:t>реднього підприємництва: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1 рік – 3061560 грн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5 років – 15301560 грн.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деталізовано у таблиці, що наведено вище.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IV. Вибір найбільш оптимального альтернативного способу досягнення цілей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0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За результатами опрацювання альтернативних способів досягнення цілей державного регулювання здійснено вибір оптимального </w:t>
      </w:r>
      <w:r w:rsidRPr="00427734">
        <w:rPr>
          <w:sz w:val="28"/>
          <w:szCs w:val="28"/>
        </w:rPr>
        <w:lastRenderedPageBreak/>
        <w:t>альтернативного способу з урахуванням системи бальної оцінки ступеня досягнення визначених цілей.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0"/>
        <w:jc w:val="both"/>
        <w:rPr>
          <w:sz w:val="24"/>
          <w:szCs w:val="24"/>
        </w:rPr>
      </w:pPr>
      <w:r w:rsidRPr="00427734">
        <w:rPr>
          <w:sz w:val="28"/>
          <w:szCs w:val="28"/>
        </w:rPr>
        <w:t>Вартість балів визначається за чотири</w:t>
      </w:r>
      <w:r w:rsidRPr="00427734">
        <w:rPr>
          <w:sz w:val="28"/>
          <w:szCs w:val="28"/>
        </w:rPr>
        <w:t>бальною системою оцінки ступеня досягнення визначених цілей: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00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4 - цілі прийняття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, які можуть бути досягнуті повною мірою (проблема більше існувати не буде);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00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3 - цілі прийняття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, які можуть бути досягнуті майже повною мір</w:t>
      </w:r>
      <w:r w:rsidRPr="00427734">
        <w:rPr>
          <w:sz w:val="28"/>
          <w:szCs w:val="28"/>
        </w:rPr>
        <w:t>ою (усі важливі аспекти проблеми існувати не будуть);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00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2 - цілі прийняття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, які можуть бути досягнуті частково (проблема значно зменшиться, деякі важливі та критичні аспекти проблеми залишаться невирішеними);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00"/>
        <w:jc w:val="both"/>
        <w:rPr>
          <w:sz w:val="24"/>
          <w:szCs w:val="24"/>
        </w:rPr>
      </w:pPr>
      <w:r w:rsidRPr="00427734">
        <w:rPr>
          <w:sz w:val="28"/>
          <w:szCs w:val="28"/>
        </w:rPr>
        <w:t>1 - цілі прийняття регуляторно</w:t>
      </w:r>
      <w:r w:rsidRPr="00427734">
        <w:rPr>
          <w:sz w:val="28"/>
          <w:szCs w:val="28"/>
        </w:rPr>
        <w:t xml:space="preserve">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, які не можуть бути досягнуті (проблема продовжує існувати).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Враховуючи вищенаведені позитивні та негативні сторони альтернативних способів досягнення мети, доцільно прийняти розроблений проект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532"/>
        <w:jc w:val="both"/>
        <w:rPr>
          <w:sz w:val="28"/>
          <w:szCs w:val="28"/>
        </w:rPr>
      </w:pPr>
    </w:p>
    <w:tbl>
      <w:tblPr>
        <w:tblStyle w:val="ab"/>
        <w:tblW w:w="949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37"/>
        <w:gridCol w:w="2350"/>
        <w:gridCol w:w="5012"/>
      </w:tblGrid>
      <w:tr w:rsidR="00427734" w:rsidRPr="00427734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Рейтинг </w:t>
            </w:r>
            <w:proofErr w:type="spellStart"/>
            <w:r w:rsidRPr="00427734">
              <w:rPr>
                <w:sz w:val="24"/>
                <w:szCs w:val="24"/>
              </w:rPr>
              <w:t>результа-тивності</w:t>
            </w:r>
            <w:proofErr w:type="spellEnd"/>
            <w:r w:rsidRPr="00427734">
              <w:rPr>
                <w:sz w:val="24"/>
                <w:szCs w:val="24"/>
              </w:rPr>
              <w:t xml:space="preserve"> (досягнення цілей під час вирішення проблеми)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Бал</w:t>
            </w:r>
          </w:p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результативності (за чотирибальною системою оцінки)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Коментарі щодо присвоєння відповідного </w:t>
            </w:r>
            <w:proofErr w:type="spellStart"/>
            <w:r w:rsidRPr="00427734">
              <w:rPr>
                <w:sz w:val="24"/>
                <w:szCs w:val="24"/>
              </w:rPr>
              <w:t>бала</w:t>
            </w:r>
            <w:proofErr w:type="spellEnd"/>
          </w:p>
        </w:tc>
      </w:tr>
      <w:tr w:rsidR="00427734" w:rsidRPr="00427734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Альтернатива 1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5"/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Проблема продовжує існувати </w:t>
            </w:r>
            <w:r w:rsidRPr="00427734">
              <w:rPr>
                <w:sz w:val="24"/>
                <w:szCs w:val="24"/>
              </w:rPr>
              <w:t>і її вирішення не можливо забезпечити за</w:t>
            </w:r>
            <w:r w:rsidRPr="00427734">
              <w:rPr>
                <w:sz w:val="24"/>
                <w:szCs w:val="24"/>
              </w:rPr>
              <w:t xml:space="preserve"> </w:t>
            </w:r>
            <w:r w:rsidRPr="00427734">
              <w:rPr>
                <w:sz w:val="24"/>
                <w:szCs w:val="24"/>
              </w:rPr>
              <w:t>допомогою ринкових механізмів чи діючих нормативно-правових актів</w:t>
            </w:r>
          </w:p>
        </w:tc>
      </w:tr>
      <w:tr w:rsidR="00427734" w:rsidRPr="00427734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2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Така альтернатива є найбільш оптимальною та дозволить забезпечити досягнення цілей, що зазначені у Розділі ІІ.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sz w:val="28"/>
          <w:szCs w:val="28"/>
        </w:rPr>
      </w:pPr>
      <w:bookmarkStart w:id="5" w:name="_vovp50trg5ls" w:colFirst="0" w:colLast="0"/>
      <w:bookmarkEnd w:id="5"/>
    </w:p>
    <w:tbl>
      <w:tblPr>
        <w:tblStyle w:val="ac"/>
        <w:tblW w:w="984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693"/>
        <w:gridCol w:w="2934"/>
        <w:gridCol w:w="2126"/>
      </w:tblGrid>
      <w:tr w:rsidR="00427734" w:rsidRPr="00427734">
        <w:trPr>
          <w:trHeight w:val="1412"/>
        </w:trPr>
        <w:tc>
          <w:tcPr>
            <w:tcW w:w="2093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Рейтинг результативності</w:t>
            </w:r>
          </w:p>
        </w:tc>
        <w:tc>
          <w:tcPr>
            <w:tcW w:w="2693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Вигоди (підсумок)</w:t>
            </w:r>
          </w:p>
        </w:tc>
        <w:tc>
          <w:tcPr>
            <w:tcW w:w="2934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(підсумок)</w:t>
            </w:r>
          </w:p>
        </w:tc>
        <w:tc>
          <w:tcPr>
            <w:tcW w:w="2126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Обґрунтування відповідного місця альтернативи у рейтингу</w:t>
            </w:r>
          </w:p>
        </w:tc>
      </w:tr>
      <w:tr w:rsidR="00427734" w:rsidRPr="00427734">
        <w:tc>
          <w:tcPr>
            <w:tcW w:w="2093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left="142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1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left="142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збереження ситуації, яка існує на цей час</w:t>
            </w:r>
          </w:p>
        </w:tc>
        <w:tc>
          <w:tcPr>
            <w:tcW w:w="2693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27" w:firstLine="105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Відсутні для наступних сфер інтересів: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27" w:firstLine="105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- </w:t>
            </w:r>
            <w:r w:rsidRPr="00427734">
              <w:rPr>
                <w:b/>
                <w:bCs/>
                <w:sz w:val="24"/>
                <w:szCs w:val="24"/>
              </w:rPr>
              <w:t>держави</w:t>
            </w:r>
            <w:r w:rsidRPr="00427734">
              <w:rPr>
                <w:sz w:val="24"/>
                <w:szCs w:val="24"/>
              </w:rPr>
              <w:t xml:space="preserve"> – неможливість забезпечення ведення лісового господарства на засадах сталого розвитку та на принципах наближеного до природи лісівництва </w:t>
            </w:r>
            <w:r w:rsidRPr="00427734">
              <w:rPr>
                <w:sz w:val="24"/>
                <w:szCs w:val="24"/>
              </w:rPr>
              <w:lastRenderedPageBreak/>
              <w:t>що призведе до недоотримання коштів бюджетами різних рівнів;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27" w:firstLine="105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- </w:t>
            </w:r>
            <w:r w:rsidRPr="00427734">
              <w:rPr>
                <w:b/>
                <w:bCs/>
                <w:sz w:val="24"/>
                <w:szCs w:val="24"/>
              </w:rPr>
              <w:t>суб’єктів господарювання</w:t>
            </w:r>
            <w:r w:rsidRPr="00427734">
              <w:rPr>
                <w:sz w:val="24"/>
                <w:szCs w:val="24"/>
              </w:rPr>
              <w:t xml:space="preserve"> – зниження продуктивності лісо</w:t>
            </w:r>
            <w:r w:rsidRPr="00427734">
              <w:rPr>
                <w:sz w:val="24"/>
                <w:szCs w:val="24"/>
              </w:rPr>
              <w:t xml:space="preserve">вих насаджень, в результаті чого зменшиться  обсяг заготівлі деревини, </w:t>
            </w:r>
            <w:r w:rsidRPr="00427734">
              <w:rPr>
                <w:sz w:val="24"/>
                <w:szCs w:val="24"/>
              </w:rPr>
              <w:t xml:space="preserve">неможливості оперативного реагування на виникнення та поширення осередків </w:t>
            </w:r>
            <w:proofErr w:type="spellStart"/>
            <w:r w:rsidRPr="00427734">
              <w:rPr>
                <w:sz w:val="24"/>
                <w:szCs w:val="24"/>
              </w:rPr>
              <w:t>хвороб</w:t>
            </w:r>
            <w:proofErr w:type="spellEnd"/>
            <w:r w:rsidRPr="00427734">
              <w:rPr>
                <w:sz w:val="24"/>
                <w:szCs w:val="24"/>
              </w:rPr>
              <w:t xml:space="preserve"> та шкідників лісу (в тому числі карантинних) спричинених, серед іншого, збройною агресією РФ проти Украї</w:t>
            </w:r>
            <w:r w:rsidRPr="00427734">
              <w:rPr>
                <w:sz w:val="24"/>
                <w:szCs w:val="24"/>
              </w:rPr>
              <w:t>ни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27" w:firstLine="105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- </w:t>
            </w:r>
            <w:r w:rsidRPr="00427734">
              <w:rPr>
                <w:b/>
                <w:bCs/>
                <w:sz w:val="24"/>
                <w:szCs w:val="24"/>
              </w:rPr>
              <w:t>громадян</w:t>
            </w:r>
            <w:r w:rsidRPr="00427734">
              <w:rPr>
                <w:sz w:val="24"/>
                <w:szCs w:val="24"/>
              </w:rPr>
              <w:t xml:space="preserve"> – відсутність прямого впливу на сфери інтересів громадян</w:t>
            </w:r>
          </w:p>
        </w:tc>
        <w:tc>
          <w:tcPr>
            <w:tcW w:w="2934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left="12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lastRenderedPageBreak/>
              <w:t>Неможливість згідно з діючою нормативно-правовою базою якісно проектувати лісогосподарські заходи та фактично їх здійснювати</w:t>
            </w:r>
          </w:p>
        </w:tc>
        <w:tc>
          <w:tcPr>
            <w:tcW w:w="2126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left="9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Дана альтернатива не забезпечує потреби у розв’язанні проблеми та досягнення встановлених цілей</w:t>
            </w:r>
          </w:p>
        </w:tc>
      </w:tr>
      <w:tr w:rsidR="00427734" w:rsidRPr="00427734">
        <w:tc>
          <w:tcPr>
            <w:tcW w:w="2093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2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прийняття </w:t>
            </w:r>
            <w:proofErr w:type="spellStart"/>
            <w:r w:rsidRPr="00427734">
              <w:rPr>
                <w:sz w:val="24"/>
                <w:szCs w:val="24"/>
              </w:rPr>
              <w:t>проєкту</w:t>
            </w:r>
            <w:proofErr w:type="spellEnd"/>
            <w:r w:rsidRPr="00427734">
              <w:rPr>
                <w:sz w:val="24"/>
                <w:szCs w:val="24"/>
              </w:rPr>
              <w:t xml:space="preserve">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</w:p>
        </w:tc>
        <w:tc>
          <w:tcPr>
            <w:tcW w:w="2693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Прийняття </w:t>
            </w:r>
            <w:proofErr w:type="spellStart"/>
            <w:r w:rsidRPr="00427734">
              <w:rPr>
                <w:sz w:val="24"/>
                <w:szCs w:val="24"/>
              </w:rPr>
              <w:t>проєкту</w:t>
            </w:r>
            <w:proofErr w:type="spellEnd"/>
            <w:r w:rsidRPr="00427734">
              <w:rPr>
                <w:sz w:val="24"/>
                <w:szCs w:val="24"/>
              </w:rPr>
              <w:t xml:space="preserve">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  <w:r w:rsidRPr="00427734">
              <w:rPr>
                <w:sz w:val="24"/>
                <w:szCs w:val="24"/>
              </w:rPr>
              <w:t xml:space="preserve"> матиме позитивний вплив – унормується питання ведення лісового господарства на засадах сталого роз</w:t>
            </w:r>
            <w:r w:rsidRPr="00427734">
              <w:rPr>
                <w:sz w:val="24"/>
                <w:szCs w:val="24"/>
              </w:rPr>
              <w:t>витку та на принципах наближеного до природи лісівництва, а також адаптацію законодавства України до законодавства Європейського Союзу</w:t>
            </w:r>
          </w:p>
        </w:tc>
        <w:tc>
          <w:tcPr>
            <w:tcW w:w="2934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Для суб’єктів великого і середнього підприємництва: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1 рік – 3061560 грн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5 років – 15301560 грн;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для суб’єктів малого та </w:t>
            </w:r>
            <w:proofErr w:type="spellStart"/>
            <w:r w:rsidRPr="00427734">
              <w:rPr>
                <w:sz w:val="24"/>
                <w:szCs w:val="24"/>
              </w:rPr>
              <w:t>мікропідприємництва</w:t>
            </w:r>
            <w:proofErr w:type="spellEnd"/>
            <w:r w:rsidRPr="00427734">
              <w:rPr>
                <w:sz w:val="24"/>
                <w:szCs w:val="24"/>
              </w:rPr>
              <w:t>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1 рік – 1054312 грн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за 5 років – </w:t>
            </w:r>
            <w:r w:rsidRPr="00427734">
              <w:rPr>
                <w:sz w:val="24"/>
                <w:szCs w:val="24"/>
              </w:rPr>
              <w:t>5174008</w:t>
            </w:r>
            <w:r w:rsidRPr="00427734">
              <w:rPr>
                <w:sz w:val="24"/>
                <w:szCs w:val="24"/>
              </w:rPr>
              <w:t xml:space="preserve"> </w:t>
            </w:r>
            <w:r w:rsidRPr="00427734">
              <w:rPr>
                <w:sz w:val="24"/>
                <w:szCs w:val="24"/>
              </w:rPr>
              <w:t>грн;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Сумарні витрати на виконання запланованого регулювання (бюджетні та малого підприємництва):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1 рік – 4806312 грн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5 років – 23934008 грн.</w:t>
            </w:r>
          </w:p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є прийнятною з огляду на досягнення поставлених цілей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sz w:val="28"/>
          <w:szCs w:val="28"/>
        </w:rPr>
      </w:pPr>
    </w:p>
    <w:tbl>
      <w:tblPr>
        <w:tblStyle w:val="ad"/>
        <w:tblW w:w="9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544"/>
        <w:gridCol w:w="3294"/>
      </w:tblGrid>
      <w:tr w:rsidR="00427734" w:rsidRPr="00427734">
        <w:tc>
          <w:tcPr>
            <w:tcW w:w="2943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Рейтинг</w:t>
            </w:r>
          </w:p>
        </w:tc>
        <w:tc>
          <w:tcPr>
            <w:tcW w:w="354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Аргументи щодо переваги обраної альтернативи/причини відмови від альтернативи</w:t>
            </w:r>
          </w:p>
        </w:tc>
        <w:tc>
          <w:tcPr>
            <w:tcW w:w="329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Оцінка ризику зовнішніх чинників на дію запропонованого регуляторного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</w:p>
        </w:tc>
      </w:tr>
      <w:tr w:rsidR="00427734" w:rsidRPr="00427734">
        <w:tc>
          <w:tcPr>
            <w:tcW w:w="2943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lastRenderedPageBreak/>
              <w:t>Альтернатива 1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Збереження ситуації, яка існує на цей час</w:t>
            </w:r>
          </w:p>
        </w:tc>
        <w:tc>
          <w:tcPr>
            <w:tcW w:w="3544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Дана альтернатива не здатна вирішити проблеми</w:t>
            </w:r>
          </w:p>
        </w:tc>
        <w:tc>
          <w:tcPr>
            <w:tcW w:w="3294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Дефіцит робочої сили внаслідок агресії РФ проти України;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довготривалі </w:t>
            </w:r>
            <w:proofErr w:type="spellStart"/>
            <w:r w:rsidRPr="00427734">
              <w:rPr>
                <w:sz w:val="24"/>
                <w:szCs w:val="24"/>
              </w:rPr>
              <w:t>блеаути</w:t>
            </w:r>
            <w:proofErr w:type="spellEnd"/>
            <w:r w:rsidRPr="00427734">
              <w:rPr>
                <w:sz w:val="24"/>
                <w:szCs w:val="24"/>
              </w:rPr>
              <w:t>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зупинка або довготривала перерва у роботі деревообробних підприємств;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 w:rsidRPr="00427734">
              <w:rPr>
                <w:sz w:val="24"/>
                <w:szCs w:val="24"/>
              </w:rPr>
              <w:t>маштабні</w:t>
            </w:r>
            <w:proofErr w:type="spellEnd"/>
            <w:r w:rsidRPr="00427734">
              <w:rPr>
                <w:sz w:val="24"/>
                <w:szCs w:val="24"/>
              </w:rPr>
              <w:t xml:space="preserve"> стихійні я</w:t>
            </w:r>
            <w:r w:rsidRPr="00427734">
              <w:rPr>
                <w:sz w:val="24"/>
                <w:szCs w:val="24"/>
              </w:rPr>
              <w:t>вища (повені, буреломи тощо)</w:t>
            </w:r>
          </w:p>
        </w:tc>
      </w:tr>
      <w:tr w:rsidR="00427734" w:rsidRPr="00427734">
        <w:tc>
          <w:tcPr>
            <w:tcW w:w="2943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Альтернатива 2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Прийняття </w:t>
            </w:r>
            <w:proofErr w:type="spellStart"/>
            <w:r w:rsidRPr="00427734">
              <w:rPr>
                <w:sz w:val="24"/>
                <w:szCs w:val="24"/>
              </w:rPr>
              <w:t>прийняття</w:t>
            </w:r>
            <w:proofErr w:type="spellEnd"/>
            <w:r w:rsidRPr="00427734">
              <w:rPr>
                <w:sz w:val="24"/>
                <w:szCs w:val="24"/>
              </w:rPr>
              <w:t xml:space="preserve"> </w:t>
            </w:r>
            <w:proofErr w:type="spellStart"/>
            <w:r w:rsidRPr="00427734">
              <w:rPr>
                <w:sz w:val="24"/>
                <w:szCs w:val="24"/>
              </w:rPr>
              <w:t>проєкту</w:t>
            </w:r>
            <w:proofErr w:type="spellEnd"/>
            <w:r w:rsidRPr="00427734">
              <w:rPr>
                <w:sz w:val="24"/>
                <w:szCs w:val="24"/>
              </w:rPr>
              <w:t xml:space="preserve">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</w:p>
        </w:tc>
        <w:tc>
          <w:tcPr>
            <w:tcW w:w="3544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50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Дана альтернатива є найбільш доцільною з огляду на поточний стан проблеми та співвідношення витрат пов’язаних із запровадженням альтернативи та </w:t>
            </w:r>
            <w:proofErr w:type="spellStart"/>
            <w:r w:rsidRPr="00427734">
              <w:rPr>
                <w:sz w:val="24"/>
                <w:szCs w:val="24"/>
              </w:rPr>
              <w:t>вигод</w:t>
            </w:r>
            <w:proofErr w:type="spellEnd"/>
            <w:r w:rsidRPr="00427734">
              <w:rPr>
                <w:sz w:val="24"/>
                <w:szCs w:val="24"/>
              </w:rPr>
              <w:t xml:space="preserve"> від її впровадження</w:t>
            </w:r>
          </w:p>
        </w:tc>
        <w:tc>
          <w:tcPr>
            <w:tcW w:w="3294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Д</w:t>
            </w:r>
            <w:r w:rsidRPr="00427734">
              <w:rPr>
                <w:sz w:val="24"/>
                <w:szCs w:val="24"/>
              </w:rPr>
              <w:t>ефіцит робочої сили внаслідок агресії РФ проти України;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довготривалі </w:t>
            </w:r>
            <w:proofErr w:type="spellStart"/>
            <w:r w:rsidRPr="00427734">
              <w:rPr>
                <w:sz w:val="24"/>
                <w:szCs w:val="24"/>
              </w:rPr>
              <w:t>блеаути</w:t>
            </w:r>
            <w:proofErr w:type="spellEnd"/>
            <w:r w:rsidRPr="00427734">
              <w:rPr>
                <w:sz w:val="24"/>
                <w:szCs w:val="24"/>
              </w:rPr>
              <w:t>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зупинка або довготривала перерва у роботі деревообробних підприємств;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rPr>
                <w:sz w:val="24"/>
                <w:szCs w:val="24"/>
              </w:rPr>
            </w:pPr>
            <w:proofErr w:type="spellStart"/>
            <w:r w:rsidRPr="00427734">
              <w:rPr>
                <w:sz w:val="24"/>
                <w:szCs w:val="24"/>
              </w:rPr>
              <w:t>маштабні</w:t>
            </w:r>
            <w:proofErr w:type="spellEnd"/>
            <w:r w:rsidRPr="00427734">
              <w:rPr>
                <w:sz w:val="24"/>
                <w:szCs w:val="24"/>
              </w:rPr>
              <w:t xml:space="preserve"> стихійні явища (повені, буреломи тощо)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Очікуваний вплив реалізації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: 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забезпечення деревиною національну економіку, соціальну сферу, населення в умовах воєнного стану, а також Збройних Сил України;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забезпечення </w:t>
      </w:r>
      <w:proofErr w:type="spellStart"/>
      <w:r w:rsidRPr="00427734">
        <w:rPr>
          <w:sz w:val="28"/>
          <w:szCs w:val="28"/>
        </w:rPr>
        <w:t>біорізноманіття</w:t>
      </w:r>
      <w:proofErr w:type="spellEnd"/>
      <w:r w:rsidRPr="00427734">
        <w:rPr>
          <w:sz w:val="28"/>
          <w:szCs w:val="28"/>
        </w:rPr>
        <w:t xml:space="preserve"> лісових екосистем, підвищення екологічного та ресурсного потенціалу лісів;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скорочення державного ре</w:t>
      </w:r>
      <w:r w:rsidRPr="00427734">
        <w:rPr>
          <w:sz w:val="28"/>
          <w:szCs w:val="28"/>
        </w:rPr>
        <w:t>гулювання під час заготівлі деревини</w:t>
      </w:r>
      <w:r w:rsidRPr="00427734">
        <w:rPr>
          <w:sz w:val="28"/>
          <w:szCs w:val="28"/>
        </w:rPr>
        <w:t>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8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Враховуючи вищенаведені позитивні та негативні сторони альтернативних способів досягнення встановлених цілей, доцільно прийняти розроблений </w:t>
      </w:r>
      <w:proofErr w:type="spellStart"/>
      <w:r w:rsidRPr="00427734">
        <w:rPr>
          <w:sz w:val="28"/>
          <w:szCs w:val="28"/>
        </w:rPr>
        <w:t>проєкт</w:t>
      </w:r>
      <w:proofErr w:type="spellEnd"/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ind w:firstLine="709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V. Механізми та заходи, які забезпечать розв’язання визначеної проблеми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  <w:bookmarkStart w:id="6" w:name="fol0921mvaq1" w:colFirst="0" w:colLast="0"/>
      <w:bookmarkEnd w:id="6"/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Регуляторним актом передбачено:</w:t>
      </w:r>
    </w:p>
    <w:p w:rsidR="00E97692" w:rsidRPr="00427734" w:rsidRDefault="00BF1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призупинити дію деяких норм нормативно-правових актів стосовно зарахування обсягів заготівлі від суцільних санітарних рубок у пристиглих, стиглих та перестійних </w:t>
      </w:r>
      <w:proofErr w:type="spellStart"/>
      <w:r w:rsidRPr="00427734">
        <w:rPr>
          <w:sz w:val="28"/>
          <w:szCs w:val="28"/>
        </w:rPr>
        <w:t>деревостанах</w:t>
      </w:r>
      <w:proofErr w:type="spellEnd"/>
      <w:r w:rsidRPr="00427734">
        <w:rPr>
          <w:sz w:val="28"/>
          <w:szCs w:val="28"/>
        </w:rPr>
        <w:t xml:space="preserve"> до обсягів використання розрахункових лісосік та фактично заготовленої деревини ві</w:t>
      </w:r>
      <w:r w:rsidRPr="00427734">
        <w:rPr>
          <w:sz w:val="28"/>
          <w:szCs w:val="28"/>
        </w:rPr>
        <w:t>д рубок головного користування;</w:t>
      </w:r>
    </w:p>
    <w:p w:rsidR="00E97692" w:rsidRPr="00427734" w:rsidRDefault="00BF1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деталізувати умови та вимоги щодо проведення заходів з поліпшення санітарного стану лісів, а також можливість оперативної ліквідації наслідків збройної агресії Російської Федерації в лісовому фонді.</w:t>
      </w:r>
    </w:p>
    <w:p w:rsidR="00E97692" w:rsidRPr="00427734" w:rsidRDefault="00BF1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ввести практику формуванн</w:t>
      </w:r>
      <w:r w:rsidRPr="00427734">
        <w:rPr>
          <w:sz w:val="28"/>
          <w:szCs w:val="28"/>
        </w:rPr>
        <w:t xml:space="preserve">я в лісах мережі технологічних коридорів (трелювальних </w:t>
      </w:r>
      <w:proofErr w:type="spellStart"/>
      <w:r w:rsidRPr="00427734">
        <w:rPr>
          <w:sz w:val="28"/>
          <w:szCs w:val="28"/>
        </w:rPr>
        <w:t>волоків</w:t>
      </w:r>
      <w:proofErr w:type="spellEnd"/>
      <w:r w:rsidRPr="00427734">
        <w:rPr>
          <w:sz w:val="28"/>
          <w:szCs w:val="28"/>
        </w:rPr>
        <w:t>).</w:t>
      </w:r>
    </w:p>
    <w:p w:rsidR="00E97692" w:rsidRPr="00427734" w:rsidRDefault="00BF1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у залежності від віку стиглості та породного складу деревостану встановити чіткі вікові рамки проведення рубок догляду.</w:t>
      </w:r>
    </w:p>
    <w:p w:rsidR="00E97692" w:rsidRPr="00427734" w:rsidRDefault="00BF1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sz w:val="28"/>
          <w:szCs w:val="28"/>
        </w:rPr>
      </w:pPr>
      <w:r w:rsidRPr="00427734">
        <w:rPr>
          <w:sz w:val="28"/>
          <w:szCs w:val="28"/>
        </w:rPr>
        <w:lastRenderedPageBreak/>
        <w:t>встановити критерії віднесення дерев в насадженні під час проведення ру</w:t>
      </w:r>
      <w:r w:rsidRPr="00427734">
        <w:rPr>
          <w:sz w:val="28"/>
          <w:szCs w:val="28"/>
        </w:rPr>
        <w:t>бок до категорій кращих (цільових), допоміжних (корисних) та тих, що підлягають вирубуванню.</w:t>
      </w:r>
    </w:p>
    <w:p w:rsidR="00E97692" w:rsidRPr="00427734" w:rsidRDefault="00BF1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визначити особливості проведення лісовідновних, реконструктивних рубок та рубок переформування. Інші заходи з формування і оздоровлення лісів доповнити новим видом</w:t>
      </w:r>
      <w:r w:rsidRPr="00427734">
        <w:rPr>
          <w:sz w:val="28"/>
          <w:szCs w:val="28"/>
        </w:rPr>
        <w:t xml:space="preserve"> рубки – рубка рідколісся.</w:t>
      </w:r>
    </w:p>
    <w:p w:rsidR="00E97692" w:rsidRPr="00427734" w:rsidRDefault="00BF1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можливість проводити суцільну вирубку дерев на ній з подальшим здійсненням заходів зі штучного відновлення лісів або створення нової </w:t>
      </w:r>
      <w:proofErr w:type="spellStart"/>
      <w:r w:rsidRPr="00427734">
        <w:rPr>
          <w:sz w:val="28"/>
          <w:szCs w:val="28"/>
        </w:rPr>
        <w:t>лісонасіннєвої</w:t>
      </w:r>
      <w:proofErr w:type="spellEnd"/>
      <w:r w:rsidRPr="00427734">
        <w:rPr>
          <w:sz w:val="28"/>
          <w:szCs w:val="28"/>
        </w:rPr>
        <w:t xml:space="preserve"> плантації.</w:t>
      </w:r>
    </w:p>
    <w:p w:rsidR="00E97692" w:rsidRPr="00427734" w:rsidRDefault="00BF1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можливість проведення кінцевого прийому рівномірно-поступових рубок головного користування у </w:t>
      </w:r>
      <w:proofErr w:type="spellStart"/>
      <w:r w:rsidRPr="00427734">
        <w:rPr>
          <w:sz w:val="28"/>
          <w:szCs w:val="28"/>
        </w:rPr>
        <w:t>деревостанах</w:t>
      </w:r>
      <w:proofErr w:type="spellEnd"/>
      <w:r w:rsidRPr="00427734">
        <w:rPr>
          <w:sz w:val="28"/>
          <w:szCs w:val="28"/>
        </w:rPr>
        <w:t xml:space="preserve"> з повнотою 0,5 і менше у гірських лісах Карпатського регіону у разі наявності надійного підросту. Також зазначено умови проведення поступових рубок в </w:t>
      </w:r>
      <w:r w:rsidRPr="00427734">
        <w:rPr>
          <w:sz w:val="28"/>
          <w:szCs w:val="28"/>
        </w:rPr>
        <w:t xml:space="preserve">мішаних </w:t>
      </w:r>
      <w:proofErr w:type="spellStart"/>
      <w:r w:rsidRPr="00427734">
        <w:rPr>
          <w:sz w:val="28"/>
          <w:szCs w:val="28"/>
        </w:rPr>
        <w:t>деревостанах</w:t>
      </w:r>
      <w:proofErr w:type="spellEnd"/>
      <w:r w:rsidRPr="00427734">
        <w:rPr>
          <w:sz w:val="28"/>
          <w:szCs w:val="28"/>
        </w:rPr>
        <w:t>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Для унормування питання внесення виправлень до виданих лісорубних квитків в електронній формі у разі виявлення в них технічної помилки, яка допущена органом, що видав його, або внаслідок системного технічного збою Єдиної екологічної п</w:t>
      </w:r>
      <w:r w:rsidRPr="00427734">
        <w:rPr>
          <w:sz w:val="28"/>
          <w:szCs w:val="28"/>
        </w:rPr>
        <w:t>латформи «</w:t>
      </w:r>
      <w:proofErr w:type="spellStart"/>
      <w:r w:rsidRPr="00427734">
        <w:rPr>
          <w:sz w:val="28"/>
          <w:szCs w:val="28"/>
        </w:rPr>
        <w:t>ЕкоСистема</w:t>
      </w:r>
      <w:proofErr w:type="spellEnd"/>
      <w:r w:rsidRPr="00427734">
        <w:rPr>
          <w:sz w:val="28"/>
          <w:szCs w:val="28"/>
        </w:rPr>
        <w:t>» та/або Порталу Дія, регуляторним актом запропоновано механізм внесення таких виправлень.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Ступінь ефективності обраних принципів і способів досягнення цілі державного регулювання оцінюється як </w:t>
      </w:r>
      <w:r w:rsidRPr="00427734">
        <w:rPr>
          <w:sz w:val="28"/>
          <w:szCs w:val="28"/>
        </w:rPr>
        <w:t>високий</w:t>
      </w:r>
      <w:r w:rsidRPr="00427734">
        <w:rPr>
          <w:sz w:val="28"/>
          <w:szCs w:val="28"/>
        </w:rPr>
        <w:t xml:space="preserve">, з прийняттям </w:t>
      </w:r>
      <w:r w:rsidRPr="00427734">
        <w:rPr>
          <w:sz w:val="28"/>
          <w:szCs w:val="28"/>
        </w:rPr>
        <w:t>регуляторного</w:t>
      </w:r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з</w:t>
      </w:r>
      <w:r w:rsidRPr="00427734">
        <w:rPr>
          <w:sz w:val="28"/>
          <w:szCs w:val="28"/>
        </w:rPr>
        <w:t>абезпечуються відповідні умови для невиснажливого, раціонального ведення лісового господарства постійними лісокористувачами.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09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Заходи, які необхідно здійснити </w:t>
      </w:r>
      <w:proofErr w:type="spellStart"/>
      <w:r w:rsidRPr="00427734">
        <w:rPr>
          <w:sz w:val="28"/>
          <w:szCs w:val="28"/>
        </w:rPr>
        <w:t>Держлісагентству</w:t>
      </w:r>
      <w:proofErr w:type="spellEnd"/>
      <w:r w:rsidRPr="00427734">
        <w:rPr>
          <w:sz w:val="28"/>
          <w:szCs w:val="28"/>
        </w:rPr>
        <w:t>: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забезпечити інформування громадськості </w:t>
      </w:r>
      <w:r w:rsidRPr="00427734">
        <w:rPr>
          <w:sz w:val="28"/>
          <w:szCs w:val="28"/>
        </w:rPr>
        <w:t>та постійних лісокористувачів/власників лісів</w:t>
      </w:r>
      <w:r w:rsidRPr="00427734">
        <w:rPr>
          <w:sz w:val="28"/>
          <w:szCs w:val="28"/>
        </w:rPr>
        <w:t xml:space="preserve"> про вимоги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шляхом його оприлюднення на офіційному </w:t>
      </w:r>
      <w:proofErr w:type="spellStart"/>
      <w:r w:rsidRPr="00427734">
        <w:rPr>
          <w:sz w:val="28"/>
          <w:szCs w:val="28"/>
        </w:rPr>
        <w:t>вебпорталі</w:t>
      </w:r>
      <w:proofErr w:type="spellEnd"/>
      <w:r w:rsidRPr="00427734">
        <w:rPr>
          <w:sz w:val="28"/>
          <w:szCs w:val="28"/>
        </w:rPr>
        <w:t xml:space="preserve"> Державного агентства лісових ресурсів України (https://forest.gov.ua).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Суб’єктам господарювання необхідно ознайомитися із регуляторним актом та дотримуватись його вимог.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У випадку появи </w:t>
      </w:r>
      <w:proofErr w:type="spellStart"/>
      <w:r w:rsidRPr="00427734">
        <w:rPr>
          <w:sz w:val="28"/>
          <w:szCs w:val="28"/>
        </w:rPr>
        <w:t>неузгодженостей</w:t>
      </w:r>
      <w:proofErr w:type="spellEnd"/>
      <w:r w:rsidRPr="00427734">
        <w:rPr>
          <w:sz w:val="28"/>
          <w:szCs w:val="28"/>
        </w:rPr>
        <w:t xml:space="preserve"> та проблемних моментів внаслідок дії регуляторного акту </w:t>
      </w:r>
      <w:proofErr w:type="spellStart"/>
      <w:r w:rsidRPr="00427734">
        <w:rPr>
          <w:sz w:val="28"/>
          <w:szCs w:val="28"/>
        </w:rPr>
        <w:t>Держлісагентство</w:t>
      </w:r>
      <w:proofErr w:type="spellEnd"/>
      <w:r w:rsidRPr="00427734">
        <w:rPr>
          <w:sz w:val="28"/>
          <w:szCs w:val="28"/>
        </w:rPr>
        <w:t xml:space="preserve"> повідомляє про такі випадки Мінекономіки та пропонує</w:t>
      </w:r>
      <w:r w:rsidRPr="00427734">
        <w:rPr>
          <w:sz w:val="28"/>
          <w:szCs w:val="28"/>
        </w:rPr>
        <w:t xml:space="preserve"> шляхи вирішення.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09"/>
        <w:jc w:val="both"/>
        <w:rPr>
          <w:sz w:val="24"/>
          <w:szCs w:val="24"/>
        </w:rPr>
      </w:pP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 xml:space="preserve">VI. Оцінка виконання вимог регуляторного </w:t>
      </w:r>
      <w:proofErr w:type="spellStart"/>
      <w:r w:rsidRPr="00427734">
        <w:rPr>
          <w:b/>
          <w:bCs/>
          <w:sz w:val="28"/>
          <w:szCs w:val="28"/>
        </w:rPr>
        <w:t>акта</w:t>
      </w:r>
      <w:proofErr w:type="spellEnd"/>
      <w:r w:rsidRPr="00427734">
        <w:rPr>
          <w:b/>
          <w:bCs/>
          <w:sz w:val="28"/>
          <w:szCs w:val="28"/>
        </w:rPr>
        <w:t xml:space="preserve"> залежно від ресурсів, якими розпоряджаються органи виконавчої влади чи органи місцевого самоврядування, фізичні та юридичні особи, які повинні проваджувати або виконувати ці вимоги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8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Від впровадження </w:t>
      </w:r>
      <w:r w:rsidRPr="00427734">
        <w:rPr>
          <w:sz w:val="28"/>
          <w:szCs w:val="28"/>
        </w:rPr>
        <w:t>регуляторного</w:t>
      </w:r>
      <w:r w:rsidRPr="00427734">
        <w:rPr>
          <w:sz w:val="28"/>
          <w:szCs w:val="28"/>
        </w:rPr>
        <w:t xml:space="preserve">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негативних наслідків не очікується.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lastRenderedPageBreak/>
        <w:t xml:space="preserve">Прийняття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не передбачає утворення нових державних структур управління.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Розрахунки бюджетних витрат та </w:t>
      </w:r>
      <w:r w:rsidRPr="00427734">
        <w:rPr>
          <w:sz w:val="28"/>
          <w:szCs w:val="28"/>
        </w:rPr>
        <w:t>витрат</w:t>
      </w:r>
      <w:r w:rsidRPr="00427734">
        <w:rPr>
          <w:sz w:val="28"/>
          <w:szCs w:val="28"/>
        </w:rPr>
        <w:t xml:space="preserve"> суб’єктів  господарювання розраховані в додатках </w:t>
      </w:r>
      <w:r w:rsidRPr="00427734">
        <w:rPr>
          <w:sz w:val="28"/>
          <w:szCs w:val="28"/>
        </w:rPr>
        <w:t>до цього аналізу регуляторного впливу.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pacing w:before="31"/>
        <w:ind w:firstLine="56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Вимоги регуляторного акту будуть впроваджуватися суб’єктами господарювання, а саме:</w:t>
      </w:r>
      <w:r w:rsidRPr="00427734">
        <w:rPr>
          <w:sz w:val="28"/>
          <w:szCs w:val="28"/>
        </w:rPr>
        <w:t xml:space="preserve"> постійними лісокористувачами, власниками лісів, державними лісовпорядними організаціями.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pacing w:before="31"/>
        <w:ind w:firstLine="567"/>
        <w:jc w:val="both"/>
        <w:rPr>
          <w:sz w:val="28"/>
          <w:szCs w:val="28"/>
        </w:rPr>
      </w:pP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pacing w:before="31"/>
        <w:ind w:firstLine="567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 xml:space="preserve">VII. Обґрунтування запропонованого строку дії регуляторного </w:t>
      </w:r>
      <w:proofErr w:type="spellStart"/>
      <w:r w:rsidRPr="00427734">
        <w:rPr>
          <w:b/>
          <w:bCs/>
          <w:sz w:val="28"/>
          <w:szCs w:val="28"/>
        </w:rPr>
        <w:t>акта</w:t>
      </w:r>
      <w:proofErr w:type="spellEnd"/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Термін дії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, який розроблений відповідно до діючих норм Лісового кодексу України, необмежений. Зміна строку дії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можлива в разі зміни законодавчих актів У</w:t>
      </w:r>
      <w:r w:rsidRPr="00427734">
        <w:rPr>
          <w:sz w:val="28"/>
          <w:szCs w:val="28"/>
        </w:rPr>
        <w:t>країни вищої юридичної сили.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Регуляторний акт набирає чинності після його офіційного оприлюднення.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ind w:firstLine="709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 xml:space="preserve">VIII. Визначення показників результативності регуляторного </w:t>
      </w:r>
      <w:proofErr w:type="spellStart"/>
      <w:r w:rsidRPr="00427734">
        <w:rPr>
          <w:b/>
          <w:bCs/>
          <w:sz w:val="28"/>
          <w:szCs w:val="28"/>
        </w:rPr>
        <w:t>акта</w:t>
      </w:r>
      <w:proofErr w:type="spellEnd"/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До основних показників результативності дії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належать: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розмір надходжень </w:t>
      </w:r>
      <w:r w:rsidRPr="00427734">
        <w:rPr>
          <w:sz w:val="28"/>
          <w:szCs w:val="28"/>
        </w:rPr>
        <w:t xml:space="preserve">до державного та місцевих бюджетів і державних цільових фондів, пов'язаних з дією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(рентна плата за спеціальне використання лісових ресурсів, ст. 256 Податкового кодексу України) – 1275 млн. грн.;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кількість суб’єктів господарювання</w:t>
      </w:r>
      <w:r w:rsidRPr="00427734">
        <w:rPr>
          <w:sz w:val="32"/>
          <w:szCs w:val="32"/>
        </w:rPr>
        <w:t xml:space="preserve"> </w:t>
      </w:r>
      <w:r w:rsidRPr="00427734">
        <w:rPr>
          <w:sz w:val="28"/>
          <w:szCs w:val="28"/>
        </w:rPr>
        <w:t>та/або фізичних осіб</w:t>
      </w:r>
      <w:r w:rsidRPr="00427734">
        <w:rPr>
          <w:sz w:val="28"/>
          <w:szCs w:val="28"/>
        </w:rPr>
        <w:t xml:space="preserve">, на яких поширюється дія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– 499;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розмір коштів і час, що витрачатимуться суб'єктами господарювання та/або фізичними особами, пов'язаними з виконанням вимог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– 4115872 грн/рік </w:t>
      </w:r>
      <w:r w:rsidRPr="00427734">
        <w:rPr>
          <w:sz w:val="28"/>
          <w:szCs w:val="28"/>
        </w:rPr>
        <w:t>та</w:t>
      </w:r>
      <w:r w:rsidRPr="00427734">
        <w:rPr>
          <w:sz w:val="28"/>
          <w:szCs w:val="28"/>
        </w:rPr>
        <w:t xml:space="preserve"> </w:t>
      </w:r>
      <w:r w:rsidRPr="00427734">
        <w:rPr>
          <w:sz w:val="28"/>
          <w:szCs w:val="28"/>
        </w:rPr>
        <w:t>20 475 568 грн за 5 років.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sz w:val="24"/>
          <w:szCs w:val="24"/>
        </w:rPr>
      </w:pPr>
      <w:r w:rsidRPr="00427734">
        <w:rPr>
          <w:sz w:val="28"/>
          <w:szCs w:val="28"/>
        </w:rPr>
        <w:t>рівень поінформованості суб’єктів господар</w:t>
      </w:r>
      <w:r w:rsidRPr="00427734">
        <w:rPr>
          <w:sz w:val="28"/>
          <w:szCs w:val="28"/>
        </w:rPr>
        <w:t xml:space="preserve">ювання </w:t>
      </w:r>
      <w:r w:rsidRPr="00427734">
        <w:rPr>
          <w:sz w:val="28"/>
          <w:szCs w:val="28"/>
        </w:rPr>
        <w:t xml:space="preserve">та/або фізичних осіб з основних положень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– визначається як високий, оскільки регуляторний акт буде оприлюднено на офіційному </w:t>
      </w:r>
      <w:proofErr w:type="spellStart"/>
      <w:r w:rsidRPr="00427734">
        <w:rPr>
          <w:sz w:val="28"/>
          <w:szCs w:val="28"/>
        </w:rPr>
        <w:t>вебпорталі</w:t>
      </w:r>
      <w:proofErr w:type="spellEnd"/>
      <w:r w:rsidRPr="00427734">
        <w:rPr>
          <w:sz w:val="28"/>
          <w:szCs w:val="28"/>
        </w:rPr>
        <w:t xml:space="preserve"> Державного агентства лісових ресурсів України (</w:t>
      </w:r>
      <w:hyperlink r:id="rId7">
        <w:r w:rsidRPr="00427734">
          <w:rPr>
            <w:sz w:val="28"/>
            <w:szCs w:val="28"/>
            <w:u w:val="single"/>
          </w:rPr>
          <w:t>https://forest.gov.</w:t>
        </w:r>
        <w:r w:rsidRPr="00427734">
          <w:rPr>
            <w:sz w:val="28"/>
            <w:szCs w:val="28"/>
            <w:u w:val="single"/>
          </w:rPr>
          <w:t>ua/</w:t>
        </w:r>
      </w:hyperlink>
      <w:r w:rsidRPr="00427734">
        <w:rPr>
          <w:sz w:val="28"/>
          <w:szCs w:val="28"/>
        </w:rPr>
        <w:t xml:space="preserve">), офіційному </w:t>
      </w:r>
      <w:proofErr w:type="spellStart"/>
      <w:r w:rsidRPr="00427734">
        <w:rPr>
          <w:sz w:val="28"/>
          <w:szCs w:val="28"/>
        </w:rPr>
        <w:t>вебпорталі</w:t>
      </w:r>
      <w:proofErr w:type="spellEnd"/>
      <w:r w:rsidRPr="00427734">
        <w:rPr>
          <w:sz w:val="28"/>
          <w:szCs w:val="28"/>
        </w:rPr>
        <w:t xml:space="preserve"> Кабінету Міністрів України та Верховної Ради України </w:t>
      </w:r>
      <w:r w:rsidRPr="00427734">
        <w:rPr>
          <w:sz w:val="28"/>
          <w:szCs w:val="28"/>
        </w:rPr>
        <w:t>та офіційних медіа</w:t>
      </w:r>
      <w:r w:rsidRPr="00427734">
        <w:rPr>
          <w:sz w:val="28"/>
          <w:szCs w:val="28"/>
        </w:rPr>
        <w:t>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2"/>
        </w:tabs>
        <w:ind w:left="-142" w:firstLine="851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фактичний обсяг рубок – 15 млн. куб. м;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2"/>
        </w:tabs>
        <w:ind w:left="-142" w:firstLine="851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кількість припинень дій лісорубного квитка – 500 випадків/рік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2"/>
        </w:tabs>
        <w:ind w:left="-142" w:firstLine="851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кількість виправлень технічних помилок, допущених при виписці лісорубного квитка – 2000 випадків/рік</w:t>
      </w:r>
      <w:r w:rsidRPr="00427734">
        <w:rPr>
          <w:sz w:val="28"/>
          <w:szCs w:val="28"/>
        </w:rPr>
        <w:t>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2"/>
        </w:tabs>
        <w:ind w:left="-142" w:firstLine="851"/>
        <w:jc w:val="both"/>
        <w:rPr>
          <w:sz w:val="28"/>
          <w:szCs w:val="28"/>
        </w:rPr>
      </w:pPr>
      <w:bookmarkStart w:id="7" w:name="rifgocytelex" w:colFirst="0" w:colLast="0"/>
      <w:bookmarkEnd w:id="7"/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 xml:space="preserve">IX. Визначення заходів, за допомогою яких здійснюватиметься відстеження результативності дії регуляторного </w:t>
      </w:r>
      <w:proofErr w:type="spellStart"/>
      <w:r w:rsidRPr="00427734">
        <w:rPr>
          <w:b/>
          <w:bCs/>
          <w:sz w:val="28"/>
          <w:szCs w:val="28"/>
        </w:rPr>
        <w:t>акта</w:t>
      </w:r>
      <w:proofErr w:type="spellEnd"/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1"/>
        <w:jc w:val="center"/>
        <w:rPr>
          <w:sz w:val="28"/>
          <w:szCs w:val="28"/>
        </w:rPr>
      </w:pPr>
      <w:bookmarkStart w:id="8" w:name="exgcmyyy0b8v" w:colFirst="0" w:colLast="0"/>
      <w:bookmarkEnd w:id="8"/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20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Відстеження результативності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буде здійснюватися Державним агентством лісових ресурсів України шляхом аналізу даних відповідно до встановлених показників результативності.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Базове відстеження результативності дії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здійсню</w:t>
      </w:r>
      <w:r w:rsidRPr="00427734">
        <w:rPr>
          <w:sz w:val="28"/>
          <w:szCs w:val="28"/>
        </w:rPr>
        <w:t xml:space="preserve">ватиметься у </w:t>
      </w:r>
      <w:r w:rsidRPr="00427734">
        <w:rPr>
          <w:sz w:val="28"/>
          <w:szCs w:val="28"/>
        </w:rPr>
        <w:t>травні</w:t>
      </w:r>
      <w:r w:rsidRPr="00427734">
        <w:rPr>
          <w:sz w:val="28"/>
          <w:szCs w:val="28"/>
        </w:rPr>
        <w:t xml:space="preserve"> 2027 року, але не пізніше 1 року від дати набрання ним чинності.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Повторне відстеження результативності дії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 xml:space="preserve"> здійснюватиметься у </w:t>
      </w:r>
      <w:r w:rsidRPr="00427734">
        <w:rPr>
          <w:sz w:val="28"/>
          <w:szCs w:val="28"/>
        </w:rPr>
        <w:t>травні</w:t>
      </w:r>
      <w:r w:rsidRPr="00427734">
        <w:rPr>
          <w:sz w:val="28"/>
          <w:szCs w:val="28"/>
        </w:rPr>
        <w:t xml:space="preserve"> 2028 року. За результатами даного відстеження відбудеться порівняння показників базового та повторного відстеження.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20"/>
        <w:jc w:val="both"/>
        <w:rPr>
          <w:sz w:val="24"/>
          <w:szCs w:val="24"/>
        </w:rPr>
      </w:pPr>
      <w:r w:rsidRPr="00427734">
        <w:rPr>
          <w:sz w:val="28"/>
          <w:szCs w:val="28"/>
        </w:rPr>
        <w:t>Періодичне відстеження результативності буде здійснюватися один раз на кожні три роки починаючи з дня закінчення заходів з повторного відст</w:t>
      </w:r>
      <w:r w:rsidRPr="00427734">
        <w:rPr>
          <w:sz w:val="28"/>
          <w:szCs w:val="28"/>
        </w:rPr>
        <w:t xml:space="preserve">еження результативності цього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Метод проведення відстеження результативності – статистичний.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Вид даних, за допомогою яких здійснюватиметься відстеження результативності – статистичні (кількість суб’єктів господарювання,</w:t>
      </w:r>
      <w:r w:rsidRPr="00427734">
        <w:rPr>
          <w:rFonts w:ascii="Calibri" w:eastAsia="Calibri" w:hAnsi="Calibri" w:cs="Calibri"/>
          <w:sz w:val="22"/>
          <w:szCs w:val="22"/>
        </w:rPr>
        <w:t xml:space="preserve"> </w:t>
      </w:r>
      <w:r w:rsidRPr="00427734">
        <w:rPr>
          <w:sz w:val="28"/>
          <w:szCs w:val="28"/>
        </w:rPr>
        <w:t xml:space="preserve">які проводять лісогосподарські </w:t>
      </w:r>
      <w:r w:rsidRPr="00427734">
        <w:rPr>
          <w:sz w:val="28"/>
          <w:szCs w:val="28"/>
        </w:rPr>
        <w:t>заходи, запроектований обсяг рубок, фактичний обсяг рубок).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 w:firstLine="720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Для відстеження результативності будуть використовуватися дані, отримані за результатами звітування, що здійснюватиметься постійними лісокористувачами, власниками лісів, державними лісовпорядними </w:t>
      </w:r>
      <w:r w:rsidRPr="00427734">
        <w:rPr>
          <w:sz w:val="28"/>
          <w:szCs w:val="28"/>
        </w:rPr>
        <w:t xml:space="preserve">організаціями, </w:t>
      </w:r>
      <w:proofErr w:type="spellStart"/>
      <w:r w:rsidRPr="00427734">
        <w:rPr>
          <w:sz w:val="28"/>
          <w:szCs w:val="28"/>
        </w:rPr>
        <w:t>Держлісагентством</w:t>
      </w:r>
      <w:proofErr w:type="spellEnd"/>
      <w:r w:rsidRPr="00427734">
        <w:rPr>
          <w:sz w:val="28"/>
          <w:szCs w:val="28"/>
        </w:rPr>
        <w:t xml:space="preserve"> та його територіальними органами.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У разі виявлення неврегульованих та проблемних моментів шляхом проведення аналізу показників дії цього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, ці моменти буде виправлено шляхом внесенням відповідних змін до нормативно-право</w:t>
      </w:r>
      <w:r w:rsidRPr="00427734">
        <w:rPr>
          <w:sz w:val="28"/>
          <w:szCs w:val="28"/>
        </w:rPr>
        <w:t>вих актів</w:t>
      </w:r>
      <w:bookmarkStart w:id="9" w:name="wvfhb6el62cf" w:colFirst="0" w:colLast="0"/>
      <w:bookmarkEnd w:id="9"/>
      <w:r w:rsidRPr="00427734">
        <w:rPr>
          <w:sz w:val="28"/>
          <w:szCs w:val="28"/>
        </w:rPr>
        <w:t>.</w:t>
      </w:r>
    </w:p>
    <w:tbl>
      <w:tblPr>
        <w:tblStyle w:val="ae"/>
        <w:tblW w:w="1964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62"/>
        <w:gridCol w:w="4962"/>
        <w:gridCol w:w="4962"/>
        <w:gridCol w:w="1417"/>
        <w:gridCol w:w="3341"/>
      </w:tblGrid>
      <w:tr w:rsidR="00427734" w:rsidRPr="00427734">
        <w:tc>
          <w:tcPr>
            <w:tcW w:w="4962" w:type="dxa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 w:rsidRPr="00427734">
              <w:rPr>
                <w:b/>
                <w:bCs/>
                <w:sz w:val="28"/>
                <w:szCs w:val="28"/>
              </w:rPr>
              <w:br/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 w:rsidRPr="00427734">
              <w:rPr>
                <w:b/>
                <w:bCs/>
                <w:sz w:val="28"/>
                <w:szCs w:val="28"/>
              </w:rPr>
              <w:t xml:space="preserve">Перший заступник Голови </w:t>
            </w:r>
          </w:p>
        </w:tc>
        <w:tc>
          <w:tcPr>
            <w:tcW w:w="4962" w:type="dxa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sz w:val="28"/>
                <w:szCs w:val="28"/>
              </w:rPr>
            </w:pP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sz w:val="28"/>
                <w:szCs w:val="28"/>
              </w:rPr>
            </w:pPr>
            <w:r w:rsidRPr="00427734">
              <w:rPr>
                <w:b/>
                <w:bCs/>
                <w:sz w:val="28"/>
                <w:szCs w:val="28"/>
              </w:rPr>
              <w:t>Володимир БУЧКО</w:t>
            </w:r>
          </w:p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3341" w:type="dxa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8"/>
                <w:szCs w:val="28"/>
              </w:rPr>
            </w:pPr>
          </w:p>
        </w:tc>
      </w:tr>
    </w:tbl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left="5670" w:right="-1"/>
        <w:jc w:val="both"/>
        <w:rPr>
          <w:sz w:val="28"/>
          <w:szCs w:val="28"/>
        </w:rPr>
      </w:pPr>
      <w:bookmarkStart w:id="10" w:name="_c5yji0s4tfz7" w:colFirst="0" w:colLast="0"/>
      <w:bookmarkEnd w:id="10"/>
      <w:r w:rsidRPr="00427734">
        <w:br w:type="page"/>
      </w:r>
      <w:r w:rsidRPr="00427734">
        <w:rPr>
          <w:sz w:val="28"/>
          <w:szCs w:val="28"/>
        </w:rPr>
        <w:lastRenderedPageBreak/>
        <w:t xml:space="preserve">Додаток 1 до аналізу регуляторного впливу до </w:t>
      </w:r>
      <w:proofErr w:type="spellStart"/>
      <w:r w:rsidRPr="00427734">
        <w:rPr>
          <w:sz w:val="28"/>
          <w:szCs w:val="28"/>
        </w:rPr>
        <w:t>проєкту</w:t>
      </w:r>
      <w:proofErr w:type="spellEnd"/>
      <w:r w:rsidRPr="00427734">
        <w:rPr>
          <w:sz w:val="28"/>
          <w:szCs w:val="28"/>
        </w:rPr>
        <w:t xml:space="preserve"> постанови Кабінету Міністрів України «Про внесення змін до деяких постанов Кабінету Міністрів України щодо врегулювання питання заготівлі деревини»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left="4962" w:right="-1"/>
        <w:jc w:val="both"/>
        <w:rPr>
          <w:sz w:val="24"/>
          <w:szCs w:val="24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/>
        <w:jc w:val="center"/>
        <w:rPr>
          <w:sz w:val="24"/>
          <w:szCs w:val="24"/>
        </w:rPr>
      </w:pPr>
      <w:r w:rsidRPr="00427734">
        <w:rPr>
          <w:b/>
          <w:bCs/>
          <w:sz w:val="28"/>
          <w:szCs w:val="28"/>
        </w:rPr>
        <w:t>ТЕСТ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малого підприємництва (М-Тест)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sz w:val="24"/>
          <w:szCs w:val="24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1. Консультації з представниками мікро- та малого підприємництва щодо оцінки впливу регулювання.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Консультації щодо визначення впливу запропонованого регулювання на суб’єктів малого підприємництва та визначення детального переліку процедур, виконання яких </w:t>
      </w:r>
      <w:r w:rsidRPr="00427734">
        <w:rPr>
          <w:sz w:val="28"/>
          <w:szCs w:val="28"/>
        </w:rPr>
        <w:t>необхідно для здійснення регулювання, проведено розробником у період з “23”03 2026 р. по “23”04 2026 р.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sz w:val="28"/>
          <w:szCs w:val="28"/>
        </w:rPr>
      </w:pPr>
    </w:p>
    <w:tbl>
      <w:tblPr>
        <w:tblStyle w:val="af"/>
        <w:tblW w:w="98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8"/>
        <w:gridCol w:w="4526"/>
        <w:gridCol w:w="1868"/>
        <w:gridCol w:w="1798"/>
      </w:tblGrid>
      <w:tr w:rsidR="00427734" w:rsidRPr="00427734">
        <w:tc>
          <w:tcPr>
            <w:tcW w:w="167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427734"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4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427734">
              <w:rPr>
                <w:sz w:val="28"/>
                <w:szCs w:val="28"/>
              </w:rPr>
              <w:t>Вид консультації (публічні консультації прямі (круглі столи, наради, робочі зустрічі тощо), інтернет-консультації прямі (інтернет-форуми, соціальні мережі тощо), запити (до підприємців, експертів, науковців тощо)</w:t>
            </w:r>
          </w:p>
        </w:tc>
        <w:tc>
          <w:tcPr>
            <w:tcW w:w="186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427734">
              <w:rPr>
                <w:sz w:val="28"/>
                <w:szCs w:val="28"/>
              </w:rPr>
              <w:t>Кількість учасників консультацій, осіб</w:t>
            </w:r>
          </w:p>
        </w:tc>
        <w:tc>
          <w:tcPr>
            <w:tcW w:w="179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sz w:val="28"/>
                <w:szCs w:val="28"/>
              </w:rPr>
            </w:pPr>
            <w:r w:rsidRPr="00427734">
              <w:rPr>
                <w:sz w:val="28"/>
                <w:szCs w:val="28"/>
              </w:rPr>
              <w:t>Осно</w:t>
            </w:r>
            <w:r w:rsidRPr="00427734">
              <w:rPr>
                <w:sz w:val="28"/>
                <w:szCs w:val="28"/>
              </w:rPr>
              <w:t>вні результати консультацій (опис)</w:t>
            </w:r>
          </w:p>
        </w:tc>
      </w:tr>
      <w:tr w:rsidR="00427734" w:rsidRPr="00427734">
        <w:tc>
          <w:tcPr>
            <w:tcW w:w="167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427734">
              <w:rPr>
                <w:sz w:val="28"/>
                <w:szCs w:val="28"/>
              </w:rPr>
              <w:t>1</w:t>
            </w:r>
          </w:p>
        </w:tc>
        <w:tc>
          <w:tcPr>
            <w:tcW w:w="4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427734">
              <w:rPr>
                <w:sz w:val="28"/>
                <w:szCs w:val="28"/>
              </w:rPr>
              <w:t xml:space="preserve">Оприлюднення на офіційному </w:t>
            </w:r>
            <w:proofErr w:type="spellStart"/>
            <w:r w:rsidRPr="00427734">
              <w:rPr>
                <w:sz w:val="28"/>
                <w:szCs w:val="28"/>
              </w:rPr>
              <w:t>вебсайті</w:t>
            </w:r>
            <w:proofErr w:type="spellEnd"/>
            <w:r w:rsidRPr="00427734">
              <w:rPr>
                <w:sz w:val="28"/>
                <w:szCs w:val="28"/>
              </w:rPr>
              <w:t xml:space="preserve"> </w:t>
            </w:r>
            <w:proofErr w:type="spellStart"/>
            <w:r w:rsidRPr="00427734">
              <w:rPr>
                <w:sz w:val="28"/>
                <w:szCs w:val="28"/>
              </w:rPr>
              <w:t>Держлісагентства</w:t>
            </w:r>
            <w:proofErr w:type="spellEnd"/>
            <w:r w:rsidRPr="00427734">
              <w:rPr>
                <w:sz w:val="28"/>
                <w:szCs w:val="28"/>
              </w:rPr>
              <w:t xml:space="preserve"> </w:t>
            </w:r>
            <w:proofErr w:type="spellStart"/>
            <w:r w:rsidRPr="00427734">
              <w:rPr>
                <w:sz w:val="28"/>
                <w:szCs w:val="28"/>
              </w:rPr>
              <w:t>проєкту</w:t>
            </w:r>
            <w:proofErr w:type="spellEnd"/>
            <w:r w:rsidRPr="00427734">
              <w:rPr>
                <w:sz w:val="28"/>
                <w:szCs w:val="28"/>
              </w:rPr>
              <w:t xml:space="preserve"> </w:t>
            </w:r>
            <w:proofErr w:type="spellStart"/>
            <w:r w:rsidRPr="00427734">
              <w:rPr>
                <w:sz w:val="28"/>
                <w:szCs w:val="28"/>
              </w:rPr>
              <w:t>акта</w:t>
            </w:r>
            <w:proofErr w:type="spellEnd"/>
            <w:r w:rsidRPr="00427734">
              <w:rPr>
                <w:sz w:val="28"/>
                <w:szCs w:val="28"/>
              </w:rPr>
              <w:t xml:space="preserve"> з метою одержання зауважень чи пропозицій</w:t>
            </w:r>
          </w:p>
        </w:tc>
        <w:tc>
          <w:tcPr>
            <w:tcW w:w="186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427734">
              <w:rPr>
                <w:sz w:val="28"/>
                <w:szCs w:val="28"/>
              </w:rPr>
              <w:t>469</w:t>
            </w:r>
          </w:p>
        </w:tc>
        <w:tc>
          <w:tcPr>
            <w:tcW w:w="179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427734">
              <w:rPr>
                <w:sz w:val="28"/>
                <w:szCs w:val="28"/>
              </w:rPr>
              <w:t xml:space="preserve">Зауваження чи пропозиції до </w:t>
            </w:r>
            <w:proofErr w:type="spellStart"/>
            <w:r w:rsidRPr="00427734">
              <w:rPr>
                <w:sz w:val="28"/>
                <w:szCs w:val="28"/>
              </w:rPr>
              <w:t>проєкту</w:t>
            </w:r>
            <w:proofErr w:type="spellEnd"/>
            <w:r w:rsidRPr="00427734">
              <w:rPr>
                <w:sz w:val="28"/>
                <w:szCs w:val="28"/>
              </w:rPr>
              <w:t xml:space="preserve"> </w:t>
            </w:r>
            <w:proofErr w:type="spellStart"/>
            <w:r w:rsidRPr="00427734">
              <w:rPr>
                <w:sz w:val="28"/>
                <w:szCs w:val="28"/>
              </w:rPr>
              <w:t>акта</w:t>
            </w:r>
            <w:proofErr w:type="spellEnd"/>
            <w:r w:rsidRPr="00427734">
              <w:rPr>
                <w:sz w:val="28"/>
                <w:szCs w:val="28"/>
              </w:rPr>
              <w:t xml:space="preserve"> не надходили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2. Вимірювання впливу регулювання на суб’єктів середнього малого підприємництва (мікро- та малі):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sz w:val="24"/>
          <w:szCs w:val="24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4"/>
          <w:szCs w:val="24"/>
        </w:rPr>
      </w:pPr>
      <w:r w:rsidRPr="00427734">
        <w:rPr>
          <w:sz w:val="28"/>
          <w:szCs w:val="28"/>
        </w:rPr>
        <w:t>кількість суб’єктів малого господарювання, на яких поширюється регулювання:</w:t>
      </w:r>
      <w:r w:rsidRPr="00427734">
        <w:rPr>
          <w:sz w:val="24"/>
          <w:szCs w:val="24"/>
        </w:rPr>
        <w:t xml:space="preserve"> </w:t>
      </w:r>
      <w:r w:rsidRPr="00427734">
        <w:rPr>
          <w:sz w:val="28"/>
          <w:szCs w:val="28"/>
        </w:rPr>
        <w:t xml:space="preserve">469 (одиниць), у тому числі малого підприємництва 87 (одиниць) та </w:t>
      </w:r>
      <w:proofErr w:type="spellStart"/>
      <w:r w:rsidRPr="00427734">
        <w:rPr>
          <w:sz w:val="28"/>
          <w:szCs w:val="28"/>
        </w:rPr>
        <w:t>мікропідприємни</w:t>
      </w:r>
      <w:r w:rsidRPr="00427734">
        <w:rPr>
          <w:sz w:val="28"/>
          <w:szCs w:val="28"/>
        </w:rPr>
        <w:t>цтва</w:t>
      </w:r>
      <w:proofErr w:type="spellEnd"/>
      <w:r w:rsidRPr="00427734">
        <w:rPr>
          <w:sz w:val="28"/>
          <w:szCs w:val="28"/>
        </w:rPr>
        <w:t xml:space="preserve"> 382 (одиниці);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427734">
        <w:rPr>
          <w:sz w:val="28"/>
          <w:szCs w:val="28"/>
        </w:rPr>
        <w:t xml:space="preserve">питома вага суб’єктів малого підприємництва у загальній кількості суб’єктів господарювання, на яких проблема справляє вплив 17,4 (відсотків) </w:t>
      </w:r>
      <w:r w:rsidRPr="00427734">
        <w:rPr>
          <w:sz w:val="28"/>
          <w:szCs w:val="28"/>
        </w:rPr>
        <w:t xml:space="preserve">(відповідно до таблиці «Оцінка впливу на сферу інтересів суб’єктів </w:t>
      </w:r>
      <w:r w:rsidRPr="00427734">
        <w:rPr>
          <w:sz w:val="28"/>
          <w:szCs w:val="28"/>
        </w:rPr>
        <w:lastRenderedPageBreak/>
        <w:t>господарювання» додатка 1 до</w:t>
      </w:r>
      <w:r w:rsidRPr="00427734">
        <w:rPr>
          <w:sz w:val="28"/>
          <w:szCs w:val="28"/>
        </w:rPr>
        <w:t xml:space="preserve"> Методики проведення аналізу впливу регуляторного </w:t>
      </w:r>
      <w:proofErr w:type="spellStart"/>
      <w:r w:rsidRPr="00427734">
        <w:rPr>
          <w:sz w:val="28"/>
          <w:szCs w:val="28"/>
        </w:rPr>
        <w:t>акта</w:t>
      </w:r>
      <w:proofErr w:type="spellEnd"/>
      <w:r w:rsidRPr="00427734">
        <w:rPr>
          <w:sz w:val="28"/>
          <w:szCs w:val="28"/>
        </w:rPr>
        <w:t>)</w:t>
      </w:r>
      <w:r w:rsidRPr="00427734">
        <w:rPr>
          <w:sz w:val="28"/>
          <w:szCs w:val="28"/>
        </w:rPr>
        <w:t>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3. Розрахунок витрат суб’єктів малого підприємництва на виконання вимог регулювання.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4"/>
          <w:szCs w:val="24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sz w:val="24"/>
          <w:szCs w:val="24"/>
        </w:rPr>
      </w:pPr>
      <w:r w:rsidRPr="00427734">
        <w:rPr>
          <w:sz w:val="28"/>
          <w:szCs w:val="28"/>
        </w:rPr>
        <w:t>Розрахунок здійснюватиметься відносно майбутніх витрат суб’єктів господарювання.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sz w:val="24"/>
          <w:szCs w:val="24"/>
        </w:rPr>
      </w:pPr>
      <w:r w:rsidRPr="00427734">
        <w:rPr>
          <w:sz w:val="28"/>
          <w:szCs w:val="28"/>
        </w:rPr>
        <w:t xml:space="preserve">У розрахунку вартості 1 години </w:t>
      </w:r>
      <w:r w:rsidRPr="00427734">
        <w:rPr>
          <w:sz w:val="28"/>
          <w:szCs w:val="28"/>
        </w:rPr>
        <w:t>роботи використано мінімальну заробітну плату, визначену в погодинному розмірі, яка відповідно до Закону України «Про Державний бюджет України на 2026 рік», з 1 січня 2026 року становить 52,00 грн.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Інформація про розмір часу, який витрачається суб’єктами на отримання зазначеної інформації є оціночною.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tbl>
      <w:tblPr>
        <w:tblStyle w:val="af0"/>
        <w:tblW w:w="968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441"/>
        <w:gridCol w:w="4323"/>
        <w:gridCol w:w="1870"/>
        <w:gridCol w:w="1610"/>
        <w:gridCol w:w="1442"/>
      </w:tblGrid>
      <w:tr w:rsidR="00427734" w:rsidRPr="00427734">
        <w:trPr>
          <w:trHeight w:val="1109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Найменування оцінки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У перший рік (стартовий рік впровадження регулювання)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Періодичні (за наступний рік)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Витрати за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п’ять років</w:t>
            </w:r>
          </w:p>
        </w:tc>
      </w:tr>
      <w:tr w:rsidR="00427734" w:rsidRPr="00427734">
        <w:trPr>
          <w:trHeight w:val="378"/>
        </w:trPr>
        <w:tc>
          <w:tcPr>
            <w:tcW w:w="9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Оцінка «прямих» витрат суб’єктів малого підприємництва на виконання регулювання</w:t>
            </w:r>
          </w:p>
        </w:tc>
      </w:tr>
      <w:tr w:rsidR="00427734" w:rsidRPr="00427734">
        <w:trPr>
          <w:trHeight w:val="121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Придбання необхідного обладнання (пристроїв, машин, механізмів)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rPr>
          <w:trHeight w:val="11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Процедури повірки та/або постановки на відповідний облік у визначеному органі державної влади чи місцевого самоврядування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rPr>
          <w:trHeight w:val="84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3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Процедури експлуатації обладнання (експлуатаційні витрати – витратні матеріали) </w:t>
            </w:r>
            <w:r w:rsidRPr="00427734">
              <w:rPr>
                <w:sz w:val="24"/>
                <w:szCs w:val="24"/>
              </w:rPr>
              <w:t>(копії таксаційних описів, планово-картографічних матеріалів лісовпорядкування)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Формула: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оцінка витрат на експлуатацію обладнання (витратні матеріали та ресурси на одиницю обладнання на рік) (1000 грн) Х кількість необхідних одиниць обладнання одному суб’є</w:t>
            </w:r>
            <w:r w:rsidRPr="00427734">
              <w:rPr>
                <w:sz w:val="24"/>
                <w:szCs w:val="24"/>
              </w:rPr>
              <w:t xml:space="preserve">кту малого підприємництва (1 </w:t>
            </w:r>
            <w:proofErr w:type="spellStart"/>
            <w:r w:rsidRPr="00427734">
              <w:rPr>
                <w:sz w:val="24"/>
                <w:szCs w:val="24"/>
              </w:rPr>
              <w:t>шт</w:t>
            </w:r>
            <w:proofErr w:type="spellEnd"/>
            <w:r w:rsidRPr="00427734">
              <w:rPr>
                <w:sz w:val="24"/>
                <w:szCs w:val="24"/>
              </w:rPr>
              <w:t>)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 грн×1=1000 грн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5000</w:t>
            </w:r>
          </w:p>
        </w:tc>
      </w:tr>
      <w:tr w:rsidR="00427734" w:rsidRPr="00427734">
        <w:trPr>
          <w:trHeight w:val="556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Процедури обслуговування обладнання (технічне обслуговування)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rPr>
          <w:trHeight w:val="254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Інші процедури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rPr>
          <w:trHeight w:val="66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6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Разом (сума рядків 1 + 2 + 3 + 4 + 5), гривень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5000</w:t>
            </w:r>
          </w:p>
        </w:tc>
      </w:tr>
      <w:tr w:rsidR="00427734" w:rsidRPr="00427734">
        <w:trPr>
          <w:trHeight w:val="839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Кількість суб’єктів господарювання, що повинні виконати вимоги регулювання, одиниць</w:t>
            </w:r>
          </w:p>
        </w:tc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469</w:t>
            </w:r>
          </w:p>
        </w:tc>
      </w:tr>
      <w:tr w:rsidR="00427734" w:rsidRPr="00427734">
        <w:trPr>
          <w:trHeight w:val="414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8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Сумарно (рядок 6 × рядок 7), гривень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469000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469000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2345000</w:t>
            </w:r>
          </w:p>
        </w:tc>
      </w:tr>
      <w:tr w:rsidR="00427734" w:rsidRPr="00427734">
        <w:trPr>
          <w:trHeight w:val="706"/>
        </w:trPr>
        <w:tc>
          <w:tcPr>
            <w:tcW w:w="9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Оцінка вартості адміністративних процедур суб’єктів малого підприємництва щодо виконання регулювання та звітування</w:t>
            </w:r>
          </w:p>
        </w:tc>
      </w:tr>
      <w:tr w:rsidR="00427734" w:rsidRPr="00427734">
        <w:trPr>
          <w:trHeight w:val="296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9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Процедури отримання первинної інформації про вимоги регулювання (лише у перший (стартовий) рік впровадження регулювання)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Формула: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часу на отримання інформації про регулювання, отримання необхідних форм (</w:t>
            </w:r>
            <w:r w:rsidRPr="00427734">
              <w:rPr>
                <w:sz w:val="24"/>
                <w:szCs w:val="24"/>
              </w:rPr>
              <w:t>1 година</w:t>
            </w:r>
            <w:r w:rsidRPr="00427734">
              <w:rPr>
                <w:sz w:val="24"/>
                <w:szCs w:val="24"/>
              </w:rPr>
              <w:t>) та заявок Х вартість часу суб’єкта малого підприємництва (заробітна плата)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 × 52 =52,00 грн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52,00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52,00</w:t>
            </w:r>
          </w:p>
        </w:tc>
      </w:tr>
      <w:tr w:rsidR="00427734" w:rsidRPr="00427734">
        <w:trPr>
          <w:trHeight w:val="564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Процедури організації виконання вимог регулювання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-складання актів обстежень;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зроблено припущення що один </w:t>
            </w:r>
            <w:proofErr w:type="spellStart"/>
            <w:r w:rsidRPr="00427734">
              <w:rPr>
                <w:sz w:val="24"/>
                <w:szCs w:val="24"/>
              </w:rPr>
              <w:t>субєкт</w:t>
            </w:r>
            <w:proofErr w:type="spellEnd"/>
            <w:r w:rsidRPr="00427734">
              <w:rPr>
                <w:sz w:val="24"/>
                <w:szCs w:val="24"/>
              </w:rPr>
              <w:t xml:space="preserve"> складає 10 актів і затрачає на кожен 2 год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Формула: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часу на розроблення та впровадження внутрішніх для суб’єкта малого підприємництва процедур на впровадження вимог регулювання (2 годин</w:t>
            </w:r>
            <w:r w:rsidRPr="00427734">
              <w:rPr>
                <w:sz w:val="24"/>
                <w:szCs w:val="24"/>
              </w:rPr>
              <w:t>и) Х вартість часу суб’єкта малого підприємництва (заробітна плата) (52 грн) Х оціночна кількість внутрішніх процедур (10 актів)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2×52×10=1040 грн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1040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1040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5200</w:t>
            </w:r>
          </w:p>
        </w:tc>
      </w:tr>
      <w:tr w:rsidR="00427734" w:rsidRPr="00427734">
        <w:trPr>
          <w:trHeight w:val="263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11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Процедури офіційного звітування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rPr>
          <w:trHeight w:val="536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12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Процедури щодо забезпечення процесу перевірок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rPr>
          <w:trHeight w:val="239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13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Інші процедури (уточнити)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-виправлення технічних помилок 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Формула: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витрати часу на забезпечення процесу </w:t>
            </w:r>
            <w:r w:rsidRPr="00427734">
              <w:rPr>
                <w:sz w:val="24"/>
                <w:szCs w:val="24"/>
              </w:rPr>
              <w:t>обстеження</w:t>
            </w:r>
            <w:r w:rsidRPr="00427734">
              <w:rPr>
                <w:sz w:val="24"/>
                <w:szCs w:val="24"/>
              </w:rPr>
              <w:t xml:space="preserve"> з боку контролюючих органів (1 година) Х вартість часу суб’єкта малого підприємництва (заробітна плата) (52 грн) Х оціночна кількість виправлень за рік (3 випадки)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1×52×3=156 грн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156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156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780</w:t>
            </w:r>
          </w:p>
        </w:tc>
      </w:tr>
      <w:tr w:rsidR="00427734" w:rsidRPr="00427734">
        <w:trPr>
          <w:trHeight w:val="549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14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Разом (сума рядків 9+10+11+12+13), гривень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1248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1196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6032</w:t>
            </w:r>
          </w:p>
        </w:tc>
      </w:tr>
      <w:tr w:rsidR="00427734" w:rsidRPr="00427734">
        <w:trPr>
          <w:trHeight w:val="81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Кількість суб’єктів малого підприємництва, що повинні виконати вимоги регулювання, одиниць</w:t>
            </w:r>
          </w:p>
        </w:tc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469</w:t>
            </w:r>
          </w:p>
        </w:tc>
      </w:tr>
      <w:tr w:rsidR="00427734" w:rsidRPr="00427734">
        <w:trPr>
          <w:trHeight w:val="559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16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Сумарно (рядок 14×15), гривень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585312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560924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2829008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sz w:val="28"/>
          <w:szCs w:val="28"/>
        </w:rPr>
      </w:pPr>
      <w:bookmarkStart w:id="11" w:name="4crtupb128ts" w:colFirst="0" w:colLast="0"/>
      <w:bookmarkEnd w:id="11"/>
      <w:r w:rsidRPr="00427734">
        <w:rPr>
          <w:sz w:val="28"/>
          <w:szCs w:val="28"/>
        </w:rPr>
        <w:t>Бюджетні витрати на адміністрування регулювання суб’єктів малого підприємництва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sz w:val="28"/>
          <w:szCs w:val="28"/>
        </w:rPr>
      </w:pPr>
      <w:bookmarkStart w:id="12" w:name="fmfd6vltsqmo" w:colFirst="0" w:colLast="0"/>
      <w:bookmarkEnd w:id="12"/>
      <w:r w:rsidRPr="00427734">
        <w:rPr>
          <w:sz w:val="28"/>
          <w:szCs w:val="28"/>
        </w:rPr>
        <w:t xml:space="preserve">Державний орган, для якого здійснюється розрахунок вартості адміністрування регулювання: </w:t>
      </w:r>
      <w:proofErr w:type="spellStart"/>
      <w:r w:rsidRPr="00427734">
        <w:rPr>
          <w:sz w:val="28"/>
          <w:szCs w:val="28"/>
        </w:rPr>
        <w:t>Держпродспоживслужба</w:t>
      </w:r>
      <w:proofErr w:type="spellEnd"/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Style w:val="af1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984"/>
        <w:gridCol w:w="1526"/>
        <w:gridCol w:w="1348"/>
        <w:gridCol w:w="1437"/>
        <w:gridCol w:w="1757"/>
      </w:tblGrid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Процедура регулювання суб’єктів малого підприємництва (розрахунок на одного типового суб’єкта господарювання малого підприємництва - за потреби окремо для суб’єктів малого та мікро-</w:t>
            </w:r>
            <w:proofErr w:type="spellStart"/>
            <w:r w:rsidRPr="00427734">
              <w:rPr>
                <w:sz w:val="24"/>
                <w:szCs w:val="24"/>
              </w:rPr>
              <w:t>підприємництв</w:t>
            </w:r>
            <w:proofErr w:type="spellEnd"/>
            <w:r w:rsidRPr="00427734">
              <w:rPr>
                <w:sz w:val="24"/>
                <w:szCs w:val="24"/>
              </w:rPr>
              <w:t>)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Планові витрати часу на процедуру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Вартість часу співробітник</w:t>
            </w:r>
            <w:r w:rsidRPr="00427734">
              <w:rPr>
                <w:sz w:val="24"/>
                <w:szCs w:val="24"/>
              </w:rPr>
              <w:t>а органу державної влади відповідної категорії (заробітна плата)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Оцінка кількості процедур за рік, що припадають на одного суб’єкта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Оцінка кількості суб’єктів, що підпадають під дію процедури регулювання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на адміністрування регулювання* (за рік), гр</w:t>
            </w:r>
            <w:r w:rsidRPr="00427734">
              <w:rPr>
                <w:sz w:val="24"/>
                <w:szCs w:val="24"/>
              </w:rPr>
              <w:t>ивень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1. Облік суб’єкта господарювання, що перебуває у сфері регулювання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2. Поточний контроль за суб’єктом господарювання, що перебуває у сфері регулювання, у тому числі: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камеральні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виїзні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3. Підготовка, затвердження та опрацювання одного окремого </w:t>
            </w:r>
            <w:proofErr w:type="spellStart"/>
            <w:r w:rsidRPr="00427734">
              <w:rPr>
                <w:sz w:val="24"/>
                <w:szCs w:val="24"/>
              </w:rPr>
              <w:t>акта</w:t>
            </w:r>
            <w:proofErr w:type="spellEnd"/>
            <w:r w:rsidRPr="00427734">
              <w:rPr>
                <w:sz w:val="24"/>
                <w:szCs w:val="24"/>
              </w:rPr>
              <w:t xml:space="preserve"> про порушення вимог регулювання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4. Реалізація одного окремого рішення щодо порушення вимог регулювання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lastRenderedPageBreak/>
              <w:t>6. Підготовка звітності за результатами регулювання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7. Інші адміністративні процедури (уточнити)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- залучення представника </w:t>
            </w:r>
            <w:proofErr w:type="spellStart"/>
            <w:r w:rsidRPr="00427734">
              <w:rPr>
                <w:sz w:val="24"/>
                <w:szCs w:val="24"/>
              </w:rPr>
              <w:t>Держпродспоживслужби</w:t>
            </w:r>
            <w:proofErr w:type="spellEnd"/>
            <w:r w:rsidRPr="00427734">
              <w:rPr>
                <w:sz w:val="24"/>
                <w:szCs w:val="24"/>
              </w:rPr>
              <w:t xml:space="preserve"> до роботи комісії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64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125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469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3752000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Разом за рік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Х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Х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Х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Х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3752000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Сумарно за п’ять років</w:t>
            </w:r>
          </w:p>
        </w:tc>
        <w:tc>
          <w:tcPr>
            <w:tcW w:w="984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Х</w:t>
            </w:r>
          </w:p>
        </w:tc>
        <w:tc>
          <w:tcPr>
            <w:tcW w:w="1526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Х</w:t>
            </w:r>
          </w:p>
        </w:tc>
        <w:tc>
          <w:tcPr>
            <w:tcW w:w="1348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Х</w:t>
            </w:r>
          </w:p>
        </w:tc>
        <w:tc>
          <w:tcPr>
            <w:tcW w:w="143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Х</w:t>
            </w:r>
          </w:p>
        </w:tc>
        <w:tc>
          <w:tcPr>
            <w:tcW w:w="1757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18760000</w:t>
            </w:r>
          </w:p>
        </w:tc>
      </w:tr>
    </w:tbl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sz w:val="24"/>
          <w:szCs w:val="24"/>
        </w:rPr>
      </w:pPr>
      <w:r w:rsidRPr="00427734">
        <w:rPr>
          <w:sz w:val="24"/>
          <w:szCs w:val="24"/>
        </w:rPr>
        <w:t xml:space="preserve">* Вартість витрат, пов’язаних з адмініструванням процесу регулювання державними органами, визначається шляхом множення фактичних витрат часу персоналу на заробітну плату спеціаліста відповідної кваліфікації та на кількість суб’єктів, що підпадають під дію </w:t>
      </w:r>
      <w:r w:rsidRPr="00427734">
        <w:rPr>
          <w:sz w:val="24"/>
          <w:szCs w:val="24"/>
        </w:rPr>
        <w:t>процедури регулювання, та на кількість процедур за рік.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>4. Розрахунок сумарних витрат суб’єктів малого підприємництва, що виникають на виконання вимог регулювання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8"/>
          <w:szCs w:val="28"/>
        </w:rPr>
      </w:pPr>
    </w:p>
    <w:tbl>
      <w:tblPr>
        <w:tblStyle w:val="af2"/>
        <w:tblW w:w="9554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1556"/>
        <w:gridCol w:w="4678"/>
        <w:gridCol w:w="1843"/>
        <w:gridCol w:w="1477"/>
      </w:tblGrid>
      <w:tr w:rsidR="00427734" w:rsidRPr="00427734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Порядковий номер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Показник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Перший рік регулювання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b/>
                <w:bCs/>
                <w:sz w:val="24"/>
                <w:szCs w:val="24"/>
              </w:rPr>
              <w:t>За п’ять років</w:t>
            </w:r>
          </w:p>
        </w:tc>
      </w:tr>
      <w:tr w:rsidR="00427734" w:rsidRPr="00427734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Оцінка «прямих» витрат суб’єктів малого підприємництва на виконання регулювання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469000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2345000</w:t>
            </w:r>
          </w:p>
        </w:tc>
      </w:tr>
      <w:tr w:rsidR="00427734" w:rsidRPr="00427734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Оцінка вартості адміністративних процедур для суб’єктів малого підприємництва щодо виконання регулювання та звітування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585312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427734">
              <w:rPr>
                <w:sz w:val="24"/>
                <w:szCs w:val="24"/>
              </w:rPr>
              <w:t>2829008</w:t>
            </w:r>
          </w:p>
        </w:tc>
      </w:tr>
      <w:tr w:rsidR="00427734" w:rsidRPr="00427734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Сумарні витрати малого підприємництва на виконання запланованого регулювання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427734">
              <w:rPr>
                <w:sz w:val="24"/>
                <w:szCs w:val="24"/>
              </w:rPr>
              <w:t>1054312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427734">
              <w:rPr>
                <w:sz w:val="24"/>
                <w:szCs w:val="24"/>
              </w:rPr>
              <w:t>5174008</w:t>
            </w:r>
          </w:p>
        </w:tc>
      </w:tr>
      <w:tr w:rsidR="00427734" w:rsidRPr="00427734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Бюджетні витрати на адміністрування регулювання суб’єктів малого підприємництва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3752000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18760000</w:t>
            </w:r>
          </w:p>
        </w:tc>
      </w:tr>
      <w:tr w:rsidR="00427734" w:rsidRPr="00427734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Сумарні витрати на виконання запланованого регулювання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4806312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23934008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 w:rsidRPr="00427734">
        <w:rPr>
          <w:b/>
          <w:bCs/>
          <w:sz w:val="28"/>
          <w:szCs w:val="28"/>
        </w:rPr>
        <w:t xml:space="preserve">5. Розроблення </w:t>
      </w:r>
      <w:proofErr w:type="spellStart"/>
      <w:r w:rsidRPr="00427734">
        <w:rPr>
          <w:b/>
          <w:bCs/>
          <w:sz w:val="28"/>
          <w:szCs w:val="28"/>
        </w:rPr>
        <w:t>корегуючих</w:t>
      </w:r>
      <w:proofErr w:type="spellEnd"/>
      <w:r w:rsidRPr="00427734">
        <w:rPr>
          <w:b/>
          <w:bCs/>
          <w:sz w:val="28"/>
          <w:szCs w:val="28"/>
        </w:rPr>
        <w:t xml:space="preserve"> (пом’якшувальних) заходів для малого підприємництва щодо запропонованого регулювання не передбачено.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bookmarkStart w:id="13" w:name="_GoBack"/>
      <w:bookmarkEnd w:id="13"/>
      <w:r w:rsidRPr="00427734">
        <w:rPr>
          <w:sz w:val="28"/>
          <w:szCs w:val="28"/>
        </w:rPr>
        <w:t>На основі оцінки сумарних витрат малого підприємництва на виконання запланованого регулювання (за перший рік регулювання та за п’ять років) розроблення коригуючих (пом’якшувальних) заходів для малого підприємництва щодо запропонованого регулювання не перед</w:t>
      </w:r>
      <w:r w:rsidRPr="00427734">
        <w:rPr>
          <w:sz w:val="28"/>
          <w:szCs w:val="28"/>
        </w:rPr>
        <w:t>бачається.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27734">
        <w:rPr>
          <w:sz w:val="28"/>
          <w:szCs w:val="28"/>
        </w:rPr>
        <w:t>___________________</w:t>
      </w: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left="5245" w:right="-1"/>
        <w:jc w:val="both"/>
        <w:rPr>
          <w:sz w:val="28"/>
          <w:szCs w:val="28"/>
        </w:rPr>
      </w:pPr>
      <w:r w:rsidRPr="00427734">
        <w:br w:type="page"/>
      </w:r>
      <w:r w:rsidRPr="00427734">
        <w:rPr>
          <w:sz w:val="28"/>
          <w:szCs w:val="28"/>
        </w:rPr>
        <w:lastRenderedPageBreak/>
        <w:t xml:space="preserve">Додаток 2 до аналізу регуляторного впливу до </w:t>
      </w:r>
      <w:proofErr w:type="spellStart"/>
      <w:r w:rsidRPr="00427734">
        <w:rPr>
          <w:sz w:val="28"/>
          <w:szCs w:val="28"/>
        </w:rPr>
        <w:t>проєкту</w:t>
      </w:r>
      <w:proofErr w:type="spellEnd"/>
      <w:r w:rsidRPr="00427734">
        <w:rPr>
          <w:sz w:val="28"/>
          <w:szCs w:val="28"/>
        </w:rPr>
        <w:t xml:space="preserve"> постанови Кабінету Міністрів України «Про внесення змін до деяких постанов Кабінету Міністрів України щодо врегулювання питання заготівлі деревини»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left="4962" w:right="-1"/>
        <w:jc w:val="both"/>
        <w:rPr>
          <w:sz w:val="24"/>
          <w:szCs w:val="24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"/>
        <w:jc w:val="center"/>
        <w:rPr>
          <w:sz w:val="24"/>
          <w:szCs w:val="24"/>
        </w:rPr>
      </w:pPr>
      <w:r w:rsidRPr="00427734">
        <w:rPr>
          <w:b/>
          <w:bCs/>
          <w:sz w:val="28"/>
          <w:szCs w:val="28"/>
        </w:rPr>
        <w:t>ВИТРАТИ</w:t>
      </w:r>
      <w:r w:rsidRPr="00427734">
        <w:rPr>
          <w:b/>
          <w:bCs/>
          <w:sz w:val="28"/>
          <w:szCs w:val="28"/>
        </w:rPr>
        <w:br/>
      </w:r>
      <w:r w:rsidRPr="00427734">
        <w:rPr>
          <w:b/>
          <w:bCs/>
          <w:sz w:val="28"/>
          <w:szCs w:val="28"/>
        </w:rPr>
        <w:t xml:space="preserve">на одного суб’єкта господарювання великого і середнього підприємництва, які виникають внаслідок дії регуляторного </w:t>
      </w:r>
      <w:proofErr w:type="spellStart"/>
      <w:r w:rsidRPr="00427734">
        <w:rPr>
          <w:b/>
          <w:bCs/>
          <w:sz w:val="28"/>
          <w:szCs w:val="28"/>
        </w:rPr>
        <w:t>акта</w:t>
      </w:r>
      <w:proofErr w:type="spellEnd"/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right="-608" w:firstLine="708"/>
        <w:jc w:val="both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right="-1" w:firstLine="708"/>
        <w:jc w:val="both"/>
        <w:rPr>
          <w:sz w:val="28"/>
          <w:szCs w:val="28"/>
        </w:rPr>
      </w:pPr>
      <w:r w:rsidRPr="00427734">
        <w:rPr>
          <w:sz w:val="28"/>
          <w:szCs w:val="28"/>
        </w:rPr>
        <w:t>У розрахунку вартості 1 години роботи використано мінімальну заробітну плату, визначену в погодинному розмірі, яка відповідно до Закону України «Про Державний бюджет України на 2026 рік», з 1 січня 2026 року становить 52,00 грн.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right="-608" w:firstLine="708"/>
        <w:jc w:val="both"/>
        <w:rPr>
          <w:sz w:val="24"/>
          <w:szCs w:val="24"/>
        </w:rPr>
      </w:pPr>
    </w:p>
    <w:tbl>
      <w:tblPr>
        <w:tblStyle w:val="af3"/>
        <w:tblW w:w="9870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1386"/>
        <w:gridCol w:w="5672"/>
        <w:gridCol w:w="1262"/>
        <w:gridCol w:w="1550"/>
      </w:tblGrid>
      <w:tr w:rsidR="00427734" w:rsidRPr="00427734">
        <w:trPr>
          <w:trHeight w:val="360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Порядковий номер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</w:t>
            </w:r>
            <w:r w:rsidRPr="00427734">
              <w:rPr>
                <w:sz w:val="24"/>
                <w:szCs w:val="24"/>
              </w:rPr>
              <w:t>а перший рік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п’ять років</w:t>
            </w:r>
          </w:p>
        </w:tc>
      </w:tr>
      <w:tr w:rsidR="00427734" w:rsidRPr="00427734">
        <w:trPr>
          <w:trHeight w:val="882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на придбання основних фондів, обладнання та приладів, сервісне обслуговування, навчання/підвищення кваліфікації персоналу тощо, гривень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</w:tr>
      <w:tr w:rsidR="00427734" w:rsidRPr="00427734">
        <w:trPr>
          <w:trHeight w:val="674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Податки та збори (зміна розміру податків/зборів, виникнення необхідності у сплаті податків/зборів), гривень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</w:tr>
      <w:tr w:rsidR="00427734" w:rsidRPr="00427734">
        <w:trPr>
          <w:trHeight w:val="335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3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Витрати, пов’язані із веденням обліку, підготовкою та поданням звітності державним органам, гривень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</w:tr>
      <w:tr w:rsidR="00427734" w:rsidRPr="00427734">
        <w:trPr>
          <w:trHeight w:val="700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4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Витрати, пов’язані з адмініструванням заходів державного нагляду (контролю) (перевірок, штрафних санкцій, виконання рішень/ приписів тощо), гривень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</w:tr>
      <w:tr w:rsidR="00427734" w:rsidRPr="00427734">
        <w:trPr>
          <w:trHeight w:val="1797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Витрати на отримання адміністративних послуг (дозволів, ліцензій, сертифікатів, атестатів, погоджень, висновків, проведення незалежних/обов’язкових експертиз, сертифікації, атестації тощо) та інших послуг (проведення наукових, інших експертиз, страхування </w:t>
            </w:r>
            <w:r w:rsidRPr="00427734">
              <w:rPr>
                <w:sz w:val="24"/>
                <w:szCs w:val="24"/>
              </w:rPr>
              <w:t>тощо), гривень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2000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10000</w:t>
            </w:r>
          </w:p>
        </w:tc>
      </w:tr>
      <w:tr w:rsidR="00427734" w:rsidRPr="00427734">
        <w:trPr>
          <w:trHeight w:val="622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6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на оборотні активи (матеріали, канцелярські товари тощо), грн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100000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500000</w:t>
            </w:r>
          </w:p>
        </w:tc>
      </w:tr>
      <w:tr w:rsidR="00427734" w:rsidRPr="00427734">
        <w:trPr>
          <w:trHeight w:val="451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 xml:space="preserve">Витрати, пов’язані із </w:t>
            </w:r>
            <w:proofErr w:type="spellStart"/>
            <w:r w:rsidRPr="00427734">
              <w:rPr>
                <w:sz w:val="24"/>
                <w:szCs w:val="24"/>
              </w:rPr>
              <w:t>наймом</w:t>
            </w:r>
            <w:proofErr w:type="spellEnd"/>
            <w:r w:rsidRPr="00427734">
              <w:rPr>
                <w:sz w:val="24"/>
                <w:szCs w:val="24"/>
              </w:rPr>
              <w:t xml:space="preserve"> додаткового персоналу, гривень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E97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</w:p>
        </w:tc>
      </w:tr>
      <w:tr w:rsidR="00427734" w:rsidRPr="00427734">
        <w:trPr>
          <w:trHeight w:val="1727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8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Інше (п</w:t>
            </w:r>
            <w:r w:rsidRPr="00427734">
              <w:rPr>
                <w:sz w:val="24"/>
                <w:szCs w:val="24"/>
              </w:rPr>
              <w:t>роцедури отримання первинної інформації про вимоги регулювання (лише у перший (стартовий) рік впровадження регулювання). Формула: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 год. (витрати часу на отримання інформації про регулювання, ознайомлення ) Х 52,00 грн (вартість часу суб’єкта великого підп</w:t>
            </w:r>
            <w:r w:rsidRPr="00427734">
              <w:rPr>
                <w:sz w:val="24"/>
                <w:szCs w:val="24"/>
              </w:rPr>
              <w:t>риємництва (заробітна плата))</w:t>
            </w:r>
            <w:r w:rsidRPr="00427734">
              <w:rPr>
                <w:sz w:val="24"/>
                <w:szCs w:val="24"/>
              </w:rPr>
              <w:t>, гривень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52,00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52,00</w:t>
            </w:r>
          </w:p>
        </w:tc>
      </w:tr>
      <w:tr w:rsidR="00427734" w:rsidRPr="00427734">
        <w:trPr>
          <w:trHeight w:val="283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9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РАЗОМ (сума рядків: 1 + 2 + 3 + 4 + 5 + 6 + 7 + 8), гривень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102052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510052</w:t>
            </w:r>
          </w:p>
        </w:tc>
      </w:tr>
      <w:tr w:rsidR="00427734" w:rsidRPr="00427734">
        <w:trPr>
          <w:trHeight w:val="648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Кількість суб’єктів господарювання великого та середнього підприємництва, на яких буде поширено регулювання, одиниць</w:t>
            </w:r>
          </w:p>
        </w:tc>
        <w:tc>
          <w:tcPr>
            <w:tcW w:w="2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0"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30</w:t>
            </w:r>
          </w:p>
        </w:tc>
      </w:tr>
      <w:tr w:rsidR="00427734" w:rsidRPr="00427734">
        <w:trPr>
          <w:trHeight w:val="875"/>
        </w:trPr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11</w:t>
            </w:r>
          </w:p>
        </w:tc>
        <w:tc>
          <w:tcPr>
            <w:tcW w:w="5672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000000"/>
            </w:tcBorders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6" w:right="7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Сумарні витрати суб’єктів господарювання великого та середнього підприємництва, на виконання регулювання (вартість регулювання) (рядок 9 х рядок 10), гривень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3061560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7"/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15301560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sz w:val="28"/>
          <w:szCs w:val="28"/>
        </w:rPr>
      </w:pPr>
      <w:r w:rsidRPr="00427734">
        <w:rPr>
          <w:sz w:val="28"/>
          <w:szCs w:val="28"/>
        </w:rPr>
        <w:t>Розрахунок відповідних витрат на одного суб’єкта господарювання</w:t>
      </w: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tbl>
      <w:tblPr>
        <w:tblStyle w:val="af4"/>
        <w:tblW w:w="98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199"/>
        <w:gridCol w:w="2223"/>
        <w:gridCol w:w="1533"/>
        <w:gridCol w:w="1133"/>
      </w:tblGrid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Вид витрат</w:t>
            </w:r>
          </w:p>
        </w:tc>
        <w:tc>
          <w:tcPr>
            <w:tcW w:w="2199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на проходження відповідних процедур (витрати часу, витрати на експертизи, тощо)</w:t>
            </w:r>
          </w:p>
        </w:tc>
        <w:tc>
          <w:tcPr>
            <w:tcW w:w="2223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безпосередньо на дозволи, ліцензії, сертифікати, страхові поліси (за рік - стартовий)</w:t>
            </w:r>
          </w:p>
        </w:tc>
        <w:tc>
          <w:tcPr>
            <w:tcW w:w="1533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Разом за рік (стартовий)</w:t>
            </w:r>
          </w:p>
        </w:tc>
        <w:tc>
          <w:tcPr>
            <w:tcW w:w="1133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за п’ять років</w:t>
            </w:r>
          </w:p>
        </w:tc>
      </w:tr>
      <w:tr w:rsidR="00427734" w:rsidRPr="00427734">
        <w:tc>
          <w:tcPr>
            <w:tcW w:w="2802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на отримання адміністративних послуг (дозволів, ліцензій, сертифікатів, атестатів, погоджень, висновків, проведення незалежних / обов’язкових експертиз, сертифікації, атестації тощо) та інших послуг (проведення наукових, інших експертиз, страхуванн</w:t>
            </w:r>
            <w:r w:rsidRPr="00427734">
              <w:rPr>
                <w:sz w:val="24"/>
                <w:szCs w:val="24"/>
              </w:rPr>
              <w:t>я тощо)</w:t>
            </w:r>
          </w:p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-виправлення помилок, затрати на роботу, грн</w:t>
            </w:r>
          </w:p>
        </w:tc>
        <w:tc>
          <w:tcPr>
            <w:tcW w:w="2199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2000</w:t>
            </w:r>
          </w:p>
        </w:tc>
        <w:tc>
          <w:tcPr>
            <w:tcW w:w="2223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0</w:t>
            </w:r>
          </w:p>
        </w:tc>
        <w:tc>
          <w:tcPr>
            <w:tcW w:w="1533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2000</w:t>
            </w:r>
          </w:p>
        </w:tc>
        <w:tc>
          <w:tcPr>
            <w:tcW w:w="1133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10000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sz w:val="28"/>
          <w:szCs w:val="28"/>
        </w:rPr>
      </w:pP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sz w:val="28"/>
          <w:szCs w:val="28"/>
        </w:rPr>
      </w:pP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tbl>
      <w:tblPr>
        <w:tblStyle w:val="af5"/>
        <w:tblW w:w="98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473"/>
        <w:gridCol w:w="1845"/>
        <w:gridCol w:w="1365"/>
      </w:tblGrid>
      <w:tr w:rsidR="00427734" w:rsidRPr="00427734">
        <w:tc>
          <w:tcPr>
            <w:tcW w:w="5211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Вид витрат</w:t>
            </w:r>
          </w:p>
        </w:tc>
        <w:tc>
          <w:tcPr>
            <w:tcW w:w="1473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За рік (стартовий)</w:t>
            </w:r>
          </w:p>
        </w:tc>
        <w:tc>
          <w:tcPr>
            <w:tcW w:w="1845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Періодичні (за наступний рік)</w:t>
            </w:r>
          </w:p>
        </w:tc>
        <w:tc>
          <w:tcPr>
            <w:tcW w:w="1365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за п’ять років</w:t>
            </w:r>
          </w:p>
        </w:tc>
      </w:tr>
      <w:tr w:rsidR="00427734" w:rsidRPr="00427734">
        <w:tc>
          <w:tcPr>
            <w:tcW w:w="5211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Витрати на оборотні активи (матеріали, канцелярські товари тощо)</w:t>
            </w:r>
          </w:p>
        </w:tc>
        <w:tc>
          <w:tcPr>
            <w:tcW w:w="1473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100000</w:t>
            </w:r>
          </w:p>
        </w:tc>
        <w:tc>
          <w:tcPr>
            <w:tcW w:w="1845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100000</w:t>
            </w:r>
          </w:p>
        </w:tc>
        <w:tc>
          <w:tcPr>
            <w:tcW w:w="1365" w:type="dxa"/>
            <w:vAlign w:val="center"/>
          </w:tcPr>
          <w:p w:rsidR="00E97692" w:rsidRPr="00427734" w:rsidRDefault="00BF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427734">
              <w:rPr>
                <w:sz w:val="24"/>
                <w:szCs w:val="24"/>
              </w:rPr>
              <w:t>500000</w:t>
            </w:r>
          </w:p>
        </w:tc>
      </w:tr>
    </w:tbl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sz w:val="28"/>
          <w:szCs w:val="28"/>
        </w:rPr>
      </w:pPr>
    </w:p>
    <w:p w:rsidR="00E97692" w:rsidRPr="00427734" w:rsidRDefault="00E9769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sz w:val="28"/>
          <w:szCs w:val="28"/>
        </w:rPr>
      </w:pPr>
    </w:p>
    <w:p w:rsidR="00E97692" w:rsidRPr="00427734" w:rsidRDefault="00BF160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right="-608"/>
        <w:jc w:val="center"/>
        <w:rPr>
          <w:rFonts w:ascii="Calibri" w:eastAsia="Calibri" w:hAnsi="Calibri" w:cs="Calibri"/>
          <w:sz w:val="22"/>
          <w:szCs w:val="22"/>
        </w:rPr>
      </w:pPr>
      <w:r w:rsidRPr="00427734">
        <w:rPr>
          <w:sz w:val="28"/>
          <w:szCs w:val="28"/>
        </w:rPr>
        <w:t>___________________</w:t>
      </w:r>
    </w:p>
    <w:sectPr w:rsidR="00E97692" w:rsidRPr="00427734">
      <w:headerReference w:type="even" r:id="rId8"/>
      <w:headerReference w:type="default" r:id="rId9"/>
      <w:pgSz w:w="11906" w:h="16838"/>
      <w:pgMar w:top="1134" w:right="851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606" w:rsidRDefault="00BF1606">
      <w:r>
        <w:separator/>
      </w:r>
    </w:p>
  </w:endnote>
  <w:endnote w:type="continuationSeparator" w:id="0">
    <w:p w:rsidR="00BF1606" w:rsidRDefault="00BF1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auto"/>
    <w:pitch w:val="default"/>
    <w:embedItalic r:id="rId1" w:fontKey="{0318557E-BB04-4F25-A1B7-D84FD5DC429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5400501-3B0C-4FF6-81FA-7AD3AD7FCAF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AABB96A-D483-4773-8FEA-2B3D0A26D5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606" w:rsidRDefault="00BF1606">
      <w:r>
        <w:separator/>
      </w:r>
    </w:p>
  </w:footnote>
  <w:footnote w:type="continuationSeparator" w:id="0">
    <w:p w:rsidR="00BF1606" w:rsidRDefault="00BF1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92" w:rsidRDefault="00BF1606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end"/>
    </w:r>
  </w:p>
  <w:p w:rsidR="00E97692" w:rsidRDefault="00E97692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92" w:rsidRDefault="00BF1606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22552A">
      <w:rPr>
        <w:color w:val="000000"/>
        <w:sz w:val="24"/>
        <w:szCs w:val="24"/>
      </w:rPr>
      <w:fldChar w:fldCharType="separate"/>
    </w:r>
    <w:r w:rsidR="008D37A6">
      <w:rPr>
        <w:noProof/>
        <w:color w:val="000000"/>
        <w:sz w:val="24"/>
        <w:szCs w:val="24"/>
      </w:rPr>
      <w:t>18</w:t>
    </w:r>
    <w:r>
      <w:rPr>
        <w:color w:val="000000"/>
        <w:sz w:val="24"/>
        <w:szCs w:val="24"/>
      </w:rPr>
      <w:fldChar w:fldCharType="end"/>
    </w:r>
  </w:p>
  <w:p w:rsidR="00E97692" w:rsidRDefault="00E97692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0A93"/>
    <w:multiLevelType w:val="multilevel"/>
    <w:tmpl w:val="D7DCD294"/>
    <w:lvl w:ilvl="0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92"/>
    <w:rsid w:val="0022552A"/>
    <w:rsid w:val="00427734"/>
    <w:rsid w:val="008D37A6"/>
    <w:rsid w:val="00BF1606"/>
    <w:rsid w:val="00E9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9BF75"/>
  <w15:docId w15:val="{77575EBB-44B2-4A56-96D8-578BD0FD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est.gov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22707</Words>
  <Characters>12943</Characters>
  <Application>Microsoft Office Word</Application>
  <DocSecurity>0</DocSecurity>
  <Lines>107</Lines>
  <Paragraphs>71</Paragraphs>
  <ScaleCrop>false</ScaleCrop>
  <Company/>
  <LinksUpToDate>false</LinksUpToDate>
  <CharactersWithSpaces>35579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Володимир Захарчук</cp:lastModifiedBy>
  <cp:revision>5</cp:revision>
  <dcterms:created xsi:type="dcterms:W3CDTF">2026-05-25T12:01:00Z</dcterms:created>
  <dcterms:modified xsi:type="dcterms:W3CDTF">2026-05-25T12:09:00Z</dcterms:modified>
</cp:coreProperties>
</file>