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9362" w14:textId="77777777" w:rsidR="00AC21A7" w:rsidRDefault="004B1E29" w:rsidP="003458F3">
      <w:pPr>
        <w:pStyle w:val="10"/>
        <w:tabs>
          <w:tab w:val="left" w:pos="9639"/>
        </w:tabs>
        <w:spacing w:line="240" w:lineRule="auto"/>
        <w:ind w:right="3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27C3BF96" w14:textId="77777777" w:rsidR="00264DF5" w:rsidRDefault="004B1E29" w:rsidP="003458F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right="-607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проєкту постанови Кабінету Міністрів України «</w:t>
      </w:r>
      <w:r w:rsidR="00AB6E6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Про внесення зміни </w:t>
      </w:r>
    </w:p>
    <w:p w14:paraId="731549CE" w14:textId="77777777" w:rsidR="00264DF5" w:rsidRDefault="00AB6E68" w:rsidP="003458F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right="-607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до пункту 1 </w:t>
      </w:r>
      <w:r w:rsidRPr="001E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постанови </w:t>
      </w:r>
      <w:r w:rsidRPr="001E40F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Кабінету Міністрів України </w:t>
      </w:r>
    </w:p>
    <w:p w14:paraId="7A10DE61" w14:textId="1B99B72F" w:rsidR="00AC21A7" w:rsidRDefault="00AB6E68" w:rsidP="003458F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right="-607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0F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від 12 травня 2023 р. № 483</w:t>
      </w:r>
      <w:r w:rsidR="004B1E2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4302FE3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AA1305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52A894E3" w14:textId="77777777" w:rsidR="009C5B55" w:rsidRDefault="009C5B55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649BDD" w14:textId="0E8E1969" w:rsidR="00AC21A7" w:rsidRPr="0074154C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54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 постанови Кабінету Міністрів України «</w:t>
      </w:r>
      <w:r w:rsidR="0074154C" w:rsidRPr="0074154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Про внесення зміни до пункту 1 </w:t>
      </w:r>
      <w:r w:rsidR="0074154C" w:rsidRPr="007415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постанови </w:t>
      </w:r>
      <w:r w:rsidR="0074154C" w:rsidRPr="0074154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Кабінету Міністрів України від 12 травня 2023 р. № 483</w:t>
      </w:r>
      <w:r w:rsidRPr="0074154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415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41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проєкт постанови, експериментальний проєкт) пропонується врегулювати питання нормативного забезпечення видачі </w:t>
      </w:r>
      <w:r w:rsidRPr="0074154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спеціального дозволу на спеціальне використання лісових ресурсів (лісорубного квитка) (далі </w:t>
      </w:r>
      <w:r w:rsidRPr="0074154C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4154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лісорубний квиток) та сертифіката про походження лісоматеріалів та виготовлених з них пиломатеріалів (далі </w:t>
      </w:r>
      <w:r w:rsidRPr="007415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74154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сертифікат про походження лісоматеріалів) в електронній формі територіальними органами Держлісагентства, шляхом </w:t>
      </w:r>
      <w:r w:rsidRPr="0074154C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строку проведення експериментального проєкту.</w:t>
      </w:r>
    </w:p>
    <w:p w14:paraId="36BC2721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проведення реформи всі документи дозвільного характеру в лісовій галузі видавались в паперовій формі. На практиці це означало, що будь-який постійний лісокористувач </w:t>
      </w:r>
      <w:r w:rsidR="00E672AE">
        <w:rPr>
          <w:rFonts w:ascii="Times New Roman" w:eastAsia="Times New Roman" w:hAnsi="Times New Roman" w:cs="Times New Roman"/>
          <w:sz w:val="28"/>
          <w:szCs w:val="28"/>
          <w:lang w:val="uk-UA"/>
        </w:rPr>
        <w:t>мав можливість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змінювати дані на власний розсуд, підроблювати дозвільні документи та недобросовісно приховувати незаконне використання лісових ресурсів. Крім того</w:t>
      </w:r>
      <w:r w:rsidR="00E672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 відсотків лісорубних квитків не видавались органами державної влади, а виписувались постійними лісокористувачами (державними та комунальними лісогосподарськими підприємствами) самі собі, </w:t>
      </w:r>
      <w:r w:rsidR="00E672AE">
        <w:rPr>
          <w:rFonts w:ascii="Times New Roman" w:eastAsia="Times New Roman" w:hAnsi="Times New Roman" w:cs="Times New Roman"/>
          <w:sz w:val="28"/>
          <w:szCs w:val="28"/>
          <w:lang w:val="uk-UA"/>
        </w:rPr>
        <w:t>окремі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яких виписувались перед перевіркою контролюючих органів.</w:t>
      </w:r>
    </w:p>
    <w:p w14:paraId="6B35FF84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Впровадження цифрових інструментів уже демонструє позитивні результати: за оцінками експертів, електронна видача лісорубного квитка та сертифіката про походження лісоматеріалів економить бізнесу 126,5 млн грн щорічно. Також з початку запровадження цифрових послуг видано </w:t>
      </w:r>
      <w:r w:rsidR="00E672A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біля 110 тис.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лісорубних квитків та </w:t>
      </w:r>
      <w:r w:rsidR="0075624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понад 75 тис.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ертифікатів про походження лісоматеріалів в електронній формі. Обсяги незаконних рубок зменшуються, а вся необхідна інформація доступна он</w:t>
      </w:r>
      <w:r w:rsidR="00E672A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лайн. Це значно зменшило </w:t>
      </w:r>
      <w:r w:rsidR="00E672A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кількість випадків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підробк</w:t>
      </w:r>
      <w:r w:rsidR="00E672A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лісорубних квитків та сертифікатів про походження лісоматеріалів, що значно наблизило український лісовий сектор до європейських стандартів управління природними ресурсами.</w:t>
      </w:r>
    </w:p>
    <w:p w14:paraId="119865B0" w14:textId="08FB9BE0" w:rsidR="00AC21A7" w:rsidRDefault="00AC21A7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1D8CC" w14:textId="7E6A4E0D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 необхідності прийняття акта</w:t>
      </w:r>
    </w:p>
    <w:p w14:paraId="7666C500" w14:textId="77777777" w:rsidR="009C5B55" w:rsidRDefault="009C5B55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A0885C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Проєктом постанови пропонується внести зміну до пункту 1, встановивши актуальний строк проведення експериментального проєкту щодо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видачі лісорубного квитка та сертифіката про походження лісоматеріалів в електронній формі у період з 17 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2023 р. по 17 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2025 р., що зумовлено низкою причин.</w:t>
      </w:r>
    </w:p>
    <w:p w14:paraId="2C9C18E6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Незважаючи на дату набрання чинності постановою Кабінету Міністрів України від 12 травня 2023 р. № 483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реалізацію 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17 травня 2023 р. та початковий строк проведення експериментального проєкту 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1 червня 2023 р. по 1 червня 2025 р., початок повноцінного функціонування цифрових послуг з видачі лісорубного квитка 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електронній формі забезпечено лише з </w:t>
      </w:r>
      <w:r w:rsidR="003C163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17 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листопада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2023 року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 сертифіката про походження лісоматеріалів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– з </w:t>
      </w:r>
      <w:r w:rsidR="003C163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17 грудня 2023 року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B740379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Факторами, що вплинули на час реалізації цифрових рішень, є набрання чинності лише з 13 жовтня 2023 року наказом Міндовкілля від 21.07.2023 </w:t>
      </w:r>
      <w:r w:rsidR="003C163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520 (зареєстровано в Міністерстві юстиції України 25 серпня 2023 р. за </w:t>
      </w:r>
      <w:r w:rsidR="003C163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1485/40541)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затвердження форм документів, необхідних для реалізації 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Без визначених вимог до форм документів та переліку інформації (відомостей), що мають міститися в них, унеможливило вчасно забезпечити розробку та початок функціонування цифрових інструментів.</w:t>
      </w:r>
    </w:p>
    <w:p w14:paraId="2CB62395" w14:textId="77777777" w:rsidR="00AC21A7" w:rsidRPr="009C5B55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Також наразі є неврегульована законодавча колізія щодо повноважень на видачу лісорубного квитка та сертифіката про походження лісоматеріалів. </w:t>
      </w:r>
      <w:r>
        <w:rPr>
          <w:rFonts w:ascii="Times New Roman" w:eastAsia="Times New Roman" w:hAnsi="Times New Roman" w:cs="Times New Roman"/>
          <w:sz w:val="28"/>
          <w:szCs w:val="28"/>
        </w:rPr>
        <w:t>Через недосконалість законодавства 70% лісорубних квитків виписували</w:t>
      </w:r>
      <w:r w:rsidR="009C5B55">
        <w:rPr>
          <w:rFonts w:ascii="Times New Roman" w:eastAsia="Times New Roman" w:hAnsi="Times New Roman" w:cs="Times New Roman"/>
          <w:sz w:val="28"/>
          <w:szCs w:val="28"/>
        </w:rPr>
        <w:t>ся постійними лісокористувачами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паперовій формі самі собі, що не відповідало Закону України «Про дозвільну систему у сфері господарської діяльності» та створювало умови для корупційних ризиків та унеможливлювало здійснення належного державно</w:t>
      </w:r>
      <w:r w:rsidR="009C5B55">
        <w:rPr>
          <w:rFonts w:ascii="Times New Roman" w:eastAsia="Times New Roman" w:hAnsi="Times New Roman" w:cs="Times New Roman"/>
          <w:sz w:val="28"/>
          <w:szCs w:val="28"/>
        </w:rPr>
        <w:t>го контролю за вирубками лісів.</w:t>
      </w:r>
    </w:p>
    <w:p w14:paraId="627FD0E3" w14:textId="1E148B28" w:rsidR="00AC21A7" w:rsidRPr="009C5B55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Законодавча ініціатива щодо внесення змін до положень Лісового кодексу України та Закону України «Про особливості державного регулювання </w:t>
      </w: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діяльності суб'єктів підприємницької діяльності, пов'язаної з реалізацією та експортом лісоматеріалів» з метою встановлення повноважень Держлісагентства на видачу лісорубного квитка та </w:t>
      </w:r>
      <w:r w:rsidRPr="00AB6E6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сертифіката про походження лісоматеріалів</w:t>
      </w: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знаходиться на розгляді Верховної Ради України з урахуванням внесеного та прийнятого за основу проєкту Закон</w:t>
      </w:r>
      <w:r w:rsidR="009C5B55"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>у України «Про ринок деревини».</w:t>
      </w:r>
    </w:p>
    <w:p w14:paraId="5C7D726C" w14:textId="77777777" w:rsidR="00AC21A7" w:rsidRPr="00AB6E68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B6E6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При цьому з січня 2025 року фінансування реалізації експериментального проєкту, що здійснюється за рахунок міжнародної технічної допомоги через офіс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USAID</w:t>
      </w:r>
      <w:r w:rsidRPr="00AB6E6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 Україні, призупинено відповідно до прийнятого рішення органів влади США.</w:t>
      </w:r>
    </w:p>
    <w:p w14:paraId="539B90E5" w14:textId="77777777" w:rsidR="00AC21A7" w:rsidRPr="00AB6E68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випадку завершення строку дії експериментального проєкту 1 червня 2025 року існують ризики невиконання договорів зовнішньоекономічної діяльності, простою транспорту на кордоні та митниці для суб’єктів господарювання, які займаються експортом деревини та окремих виробів з деревини в країни ЄС через неможливість одержання бізнесом </w:t>
      </w:r>
      <w:r w:rsidRPr="00AB6E6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сертифікатів про походження лісоматеріалів</w:t>
      </w: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>, а держава понесе іміджеві втрати.</w:t>
      </w:r>
    </w:p>
    <w:p w14:paraId="12127E1B" w14:textId="77777777" w:rsidR="00AC21A7" w:rsidRPr="00AB6E68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є високий ризик того, що суб’єкти господарювання зіткнуться з обмеженням у здійсненні законної лісогосподарської діяльності, проведенні рубок та експорту деревини,</w:t>
      </w:r>
      <w:r w:rsidRPr="00AB6E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>що у свою чергу створить умови для збільшення тіньового ринку деревини.</w:t>
      </w:r>
    </w:p>
    <w:p w14:paraId="6A7C8E46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Тому вирішення даного проблемного питання щодо забезпечення видачі таких документів територіальними органами Держлісагентства, до забезпечення законодавчого врегулювання, можливо реалізувати виключно в межах діючого експериментального проєкту, реалізованих цифрових рішень та </w:t>
      </w:r>
      <w:r>
        <w:rPr>
          <w:rFonts w:ascii="Times New Roman" w:eastAsia="Times New Roman" w:hAnsi="Times New Roman" w:cs="Times New Roman"/>
          <w:sz w:val="28"/>
          <w:szCs w:val="28"/>
        </w:rPr>
        <w:t>встановлення актуального строку проведення.</w:t>
      </w:r>
    </w:p>
    <w:p w14:paraId="476B03AC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 забезпечить випуск у митний режим експорту лісо- та пиломатеріалів, на підставі сертифікатів про походження лісоматеріалів, отриманих від Держлісагентства, з використанням механізму «єдиного вікна» відповідно до Митного кодексу України.</w:t>
      </w:r>
    </w:p>
    <w:p w14:paraId="6F78BB11" w14:textId="77777777" w:rsidR="00AC21A7" w:rsidRDefault="00AC21A7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EE6EE8" w14:textId="77777777" w:rsidR="00AC21A7" w:rsidRDefault="004B1E29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Основні положення проекту акта</w:t>
      </w:r>
    </w:p>
    <w:p w14:paraId="0821B23F" w14:textId="77777777" w:rsidR="009C5B55" w:rsidRDefault="009C5B55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107129" w14:textId="77777777" w:rsidR="002C4380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Проєктом постанови пропонується внести зміну до пункту 1 постанови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Кабінету Міністрів України від 12 травня 2023 р. № 483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 реалізацію </w:t>
      </w:r>
    </w:p>
    <w:p w14:paraId="0FBFC6F3" w14:textId="621CE909" w:rsidR="00AC21A7" w:rsidRDefault="004B1E29" w:rsidP="002C4380">
      <w:pPr>
        <w:pStyle w:val="10"/>
        <w:tabs>
          <w:tab w:val="left" w:pos="9639"/>
        </w:tabs>
        <w:ind w:right="33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формі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встановивши строк реалізації експериментального проєкту щодо видачі лісорубного квитка та сертифіката про походження лісоматеріалів в електронній формі з 17 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2023 р. по 17 </w:t>
      </w:r>
      <w:r w:rsidR="009C5B5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2025 р., а також залишити діючим правове регулювання:</w:t>
      </w:r>
    </w:p>
    <w:p w14:paraId="4B400443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Порядку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реалізації експериментального проекту щодо видачі спеціального дозволу на спеціальне використання лісових ресурсів (лісорубного квитка) в електронній формі</w:t>
      </w:r>
      <w:r>
        <w:rPr>
          <w:rFonts w:ascii="Times New Roman" w:eastAsia="Times New Roman" w:hAnsi="Times New Roman" w:cs="Times New Roman"/>
          <w:sz w:val="28"/>
          <w:szCs w:val="28"/>
        </w:rPr>
        <w:t>, що визначає умови та механізми видачі, переоформлення, анулювання спеціального дозволу на використання лісових ресурс</w:t>
      </w:r>
      <w:r w:rsidR="009C5B55">
        <w:rPr>
          <w:rFonts w:ascii="Times New Roman" w:eastAsia="Times New Roman" w:hAnsi="Times New Roman" w:cs="Times New Roman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покращення процедури видачі лісорубного квитка, а також запроваджує електронну взаємодію між </w:t>
      </w:r>
      <w:r w:rsidR="009C5B55">
        <w:rPr>
          <w:rFonts w:ascii="Times New Roman" w:eastAsia="Times New Roman" w:hAnsi="Times New Roman" w:cs="Times New Roman"/>
          <w:sz w:val="28"/>
          <w:szCs w:val="28"/>
        </w:rPr>
        <w:t>постійними лісокористувачами та</w:t>
      </w:r>
      <w:r w:rsidR="009C5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Держлісагентством з метою покращення якості, швидкості та прозорості надання послуги.</w:t>
      </w:r>
    </w:p>
    <w:p w14:paraId="71F049B7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Порядку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реалізації експериментального проекту щодо видачі сертифіката про походження лісоматеріалів та виготовлених з них пиломатеріалів в електронній формі</w:t>
      </w:r>
      <w:r>
        <w:rPr>
          <w:rFonts w:ascii="Times New Roman" w:eastAsia="Times New Roman" w:hAnsi="Times New Roman" w:cs="Times New Roman"/>
          <w:sz w:val="28"/>
          <w:szCs w:val="28"/>
        </w:rPr>
        <w:t>. Реалізація за межі митної території України в митному режимі експорту лісоматеріалів та виготовлених з них пиломатеріалів, допускається за наявності сертифіката про походження лісоматеріалів.</w:t>
      </w:r>
    </w:p>
    <w:p w14:paraId="2A48E758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Відтак, проєктом постанови пропонується залишити діючі процедури, пов’язані з видачею дозвільних документів у сфері лісового господарства в електронній формі через Єдиний державний вебпортал електронних послуг «Дія», з подальшим відображенням інформації в Єдиній екологічній платформі «ЕкоСистема», до врегулювання діючих процедур на рівні закону, а саме:</w:t>
      </w:r>
    </w:p>
    <w:p w14:paraId="49DFEA2B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спеціальний дозвіл на використання лісових ресурсів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(лісорубний квиток)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274D3D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сертифікат про походження лісоматеріалів та виготовлених з них пиломатеріалів.</w:t>
      </w:r>
    </w:p>
    <w:p w14:paraId="34CAD9EE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Діюча процедура видачі ліс</w:t>
      </w:r>
      <w:r w:rsidR="009C5B55">
        <w:rPr>
          <w:rFonts w:ascii="Times New Roman" w:eastAsia="Times New Roman" w:hAnsi="Times New Roman" w:cs="Times New Roman"/>
          <w:sz w:val="28"/>
          <w:szCs w:val="28"/>
        </w:rPr>
        <w:t>орубних квитків та сертифікатів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походження лісоматеріалів запроваджує виключно електронну форму подання заявки.</w:t>
      </w:r>
    </w:p>
    <w:p w14:paraId="65173ED9" w14:textId="77777777" w:rsidR="00AC21A7" w:rsidRDefault="00AC21A7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2FE4C" w14:textId="1A42A1DB" w:rsidR="00AC21A7" w:rsidRDefault="004B1E29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аспекти:</w:t>
      </w:r>
    </w:p>
    <w:p w14:paraId="04727FEE" w14:textId="77777777" w:rsidR="009C5B55" w:rsidRDefault="009C5B55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A28A87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даній сфері суспільних відносин діють такі нормативно-правові акти:</w:t>
      </w:r>
    </w:p>
    <w:p w14:paraId="71A9384E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Лісовий кодекс України;</w:t>
      </w:r>
    </w:p>
    <w:p w14:paraId="03E1EB52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 України «Про особливості державного регулювання діяльності суб’єктів підприємницької діяльності, пов’язаної з реалізацією та експортом лісоматеріалів»;</w:t>
      </w:r>
    </w:p>
    <w:p w14:paraId="0D0D5A52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електронну ідентифікацію та електронні довірчі послуги»;</w:t>
      </w:r>
    </w:p>
    <w:p w14:paraId="544EB1BD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21 грудня 2005 року № 1260 «Про затвердження Тимчасового порядку видачі сертифіката про походження лісоматеріалів та виготовлених з них пиломатеріалів для здійснення експортних операцій»;</w:t>
      </w:r>
    </w:p>
    <w:p w14:paraId="6A05711B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23 травня 2007 року № 761 «Про врегулювання питань щодо спеціального використання лісових ресурсів»;</w:t>
      </w:r>
    </w:p>
    <w:p w14:paraId="6DD103A7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16 вересня 2009 року № 976 «Про затвердження Положення про державну лісову охорону»;</w:t>
      </w:r>
    </w:p>
    <w:p w14:paraId="06861EA0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16 жовтня 2015 року № 826 «Деякі питання видачі сертифіката про походження лісоматеріалів та виготовлених з них пиломатеріалів»;</w:t>
      </w:r>
    </w:p>
    <w:p w14:paraId="62518477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08 вересня 2016 року № 606 «Деякі питання електронної взаємодії державних електронних інформаційних ресурсів»;</w:t>
      </w:r>
    </w:p>
    <w:p w14:paraId="6C53A6BD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Державного комітету лісового господарства України від 07 вересня 2007 року № 528 «Про затвердження форми Сертифіката про походження лісоматеріалів та виготовлених з них пиломатеріалів для здійснення експортних операцій та Інструкції щодо заповнення форми Сертифіката про походження лісоматеріалів та виготовлених з них пиломатеріалів для здійснення експортних операцій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3094DF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Міністерства захисту довкілля та природних ресурсів України від 21 липня 2023 року № 520 «Про затвердження форм документів, необхідних для реалізації 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формі».</w:t>
      </w:r>
    </w:p>
    <w:p w14:paraId="42CC24B9" w14:textId="5B2AEBEC" w:rsidR="00AC21A7" w:rsidRDefault="00AC21A7" w:rsidP="003C163F">
      <w:pPr>
        <w:pStyle w:val="10"/>
        <w:tabs>
          <w:tab w:val="left" w:pos="9639"/>
        </w:tabs>
        <w:spacing w:line="240" w:lineRule="auto"/>
        <w:ind w:right="333"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CA9B4C2" w14:textId="77777777" w:rsidR="00AC21A7" w:rsidRPr="00AB6E68" w:rsidRDefault="004B1E29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6E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0588515E" w14:textId="77777777" w:rsidR="009C5B55" w:rsidRDefault="009C5B55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A64349" w14:textId="77777777" w:rsidR="00AC21A7" w:rsidRPr="00AB6E68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постанови не потребує додаткових видатків з державного бюджету, а буде здійснюватися в межах видатків, передбачених за рахунок міжнародної технічної допомоги.</w:t>
      </w:r>
    </w:p>
    <w:p w14:paraId="1D857806" w14:textId="77777777" w:rsidR="00AC21A7" w:rsidRPr="00AB6E68" w:rsidRDefault="004B1E29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6E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6.</w:t>
      </w:r>
      <w:r w:rsidRPr="00AB6E68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  <w:r w:rsidRPr="00AB6E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Позиція заінтересованих сторін</w:t>
      </w:r>
    </w:p>
    <w:p w14:paraId="245A3EFF" w14:textId="77777777" w:rsidR="009C5B55" w:rsidRDefault="009C5B55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74AF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постанови потребує погодження з Міністерством цифрової трансформації України, Міністерством економіки України, Міністерством фінансів України, Міністерством захисту довкілля та природних ресурсів України, та Державною регуляторною службою </w:t>
      </w:r>
      <w:r>
        <w:rPr>
          <w:rFonts w:ascii="Times New Roman" w:eastAsia="Times New Roman" w:hAnsi="Times New Roman" w:cs="Times New Roman"/>
          <w:sz w:val="28"/>
          <w:szCs w:val="28"/>
        </w:rPr>
        <w:t>України, Державною митною службою України та Державною податковою службою України.</w:t>
      </w:r>
    </w:p>
    <w:p w14:paraId="789C3251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постанови потребує проведення правової експертизи Міністерством юстиції України.</w:t>
      </w:r>
    </w:p>
    <w:p w14:paraId="1B4337FA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постанови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 та прав осіб з інвалідністю.</w:t>
      </w:r>
    </w:p>
    <w:p w14:paraId="7CC730AF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Проєкт постанови не стосується сфери наукової та </w:t>
      </w:r>
      <w:r w:rsidR="009C5B55">
        <w:rPr>
          <w:rFonts w:ascii="Times New Roman" w:eastAsia="Times New Roman" w:hAnsi="Times New Roman" w:cs="Times New Roman"/>
          <w:sz w:val="28"/>
          <w:szCs w:val="28"/>
        </w:rPr>
        <w:t>науково-технічної діяльності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потребує проведення консультацій з громадськістю.</w:t>
      </w:r>
    </w:p>
    <w:p w14:paraId="00A392A1" w14:textId="77777777" w:rsidR="00AC21A7" w:rsidRDefault="00AC21A7" w:rsidP="003C163F">
      <w:pPr>
        <w:pStyle w:val="10"/>
        <w:tabs>
          <w:tab w:val="left" w:pos="9639"/>
        </w:tabs>
        <w:spacing w:line="240" w:lineRule="auto"/>
        <w:ind w:right="333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E3CD114" w14:textId="77777777" w:rsidR="00AC21A7" w:rsidRDefault="004B1E29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1E2DB4A6" w14:textId="77777777" w:rsidR="009C5B55" w:rsidRDefault="009C5B55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78151D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проєкті постанови відсутні положення, що стосуються зобов'язань України у сфері європейської інтеграції, прав та свобод, гарантованих Конвенцією про захист прав людини та можливостей жінок і чоловіків, містять ризики вчинення корупційних правопорушень та правопорушень, пов’язаних з корупцією, які можуть вплинути під час реалізації постанови.</w:t>
      </w:r>
    </w:p>
    <w:p w14:paraId="4BCEE2B2" w14:textId="77777777" w:rsidR="00AC21A7" w:rsidRDefault="004B1E29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постанови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5ADBB110" w14:textId="77777777" w:rsidR="009C5B55" w:rsidRDefault="009C5B55" w:rsidP="003C163F">
      <w:pPr>
        <w:pStyle w:val="10"/>
        <w:tabs>
          <w:tab w:val="left" w:pos="9639"/>
        </w:tabs>
        <w:spacing w:line="240" w:lineRule="auto"/>
        <w:ind w:right="333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B02B90" w14:textId="77777777" w:rsidR="00AC21A7" w:rsidRDefault="004B1E29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Прогноз результатів</w:t>
      </w:r>
    </w:p>
    <w:p w14:paraId="1D840AC2" w14:textId="77777777" w:rsidR="009C5B55" w:rsidRPr="003C163F" w:rsidRDefault="009C5B55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6D9D66FA" w14:textId="77777777" w:rsidR="00AC21A7" w:rsidRDefault="004B1E29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постанови матиме позитивний вплив на суб’єктів господарювання, громадян та органи державної влади.</w:t>
      </w:r>
    </w:p>
    <w:p w14:paraId="4A846EFE" w14:textId="77777777" w:rsidR="009C5B55" w:rsidRPr="003C163F" w:rsidRDefault="009C5B55" w:rsidP="003C163F">
      <w:pPr>
        <w:pStyle w:val="10"/>
        <w:tabs>
          <w:tab w:val="left" w:pos="9639"/>
        </w:tabs>
        <w:spacing w:line="240" w:lineRule="auto"/>
        <w:ind w:right="333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a5"/>
        <w:tblW w:w="996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880"/>
        <w:gridCol w:w="3480"/>
        <w:gridCol w:w="3600"/>
      </w:tblGrid>
      <w:tr w:rsidR="00AC21A7" w14:paraId="625F4C50" w14:textId="77777777" w:rsidTr="003C163F">
        <w:trPr>
          <w:trHeight w:val="53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EEF2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Заінтересована сторона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B099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реалізації акта на заінтересовану сторону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D2FE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Пояснення очікуваного впливу</w:t>
            </w:r>
          </w:p>
        </w:tc>
      </w:tr>
      <w:tr w:rsidR="00AC21A7" w14:paraId="651541A2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846E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Суб’єкти господарю</w:t>
            </w:r>
            <w:r w:rsidR="003C1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вання, що провадять свою діяльність на території України та здійснюють заготівлю деревини та/або експорт 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деревини.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7B53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Спрощення ведення бізнесу шляхом створення для суб’єктів господарювання мож</w:t>
            </w:r>
            <w:r w:rsidR="003C1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ливості отримання спеціально</w:t>
            </w:r>
            <w:r w:rsidR="003C1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дозволу на використання лісових ресурсів (ліс</w:t>
            </w:r>
            <w:r w:rsidR="009C5B55"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орубного </w:t>
            </w:r>
            <w:r w:rsidR="009C5B55"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квитка) та сертифіката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походження лісоматеріалів та виготовлених з них пиломате</w:t>
            </w:r>
            <w:r w:rsidR="003C1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ріалів он</w:t>
            </w:r>
            <w:r w:rsidR="003C1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лайн (далі </w:t>
            </w:r>
            <w:r w:rsidR="009C5B55"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дозвільні документи). Прискорення про</w:t>
            </w:r>
            <w:r w:rsidR="003C1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цедури отримання дозвільних документів шляхом скорочення строку їх отримання. Зменшення адміністративного навантаження на бізнес.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19AA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Отримання дозвільних документів в електронній формі спростить процедуру подачі документів; зменшить фінансове та адміністративне навантаження на суб’єктів 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господарювання. Зменшення витрат на здійснення господарської діяльності. Кошти, які витрачаються на отримання дозвільних документів в письмовій формі, суб’єкти господарювання зможуть спрямувати на розвиток власного бізнесу.</w:t>
            </w:r>
          </w:p>
        </w:tc>
      </w:tr>
      <w:tr w:rsidR="00AC21A7" w14:paraId="7A8AA930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CA80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 державної влади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8ADD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витрат держави на адміністрування процедури видачі дозвільних документів, шляхом налагодження електро</w:t>
            </w:r>
            <w:r w:rsidR="003C1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нної взаємодії між Державним агентством лісових ресурсів України та територіальними органами з Державною подат</w:t>
            </w:r>
            <w:r w:rsidR="003C1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ковою службою України та Державною митною службою України.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E53A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Уніфікація даних для всіх заінтересованих органів.</w:t>
            </w:r>
          </w:p>
          <w:p w14:paraId="04D1AA9B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видані дозвільні документи розміщуватиметься безкоштовно та постійно оновлюватиметься.</w:t>
            </w:r>
          </w:p>
        </w:tc>
      </w:tr>
      <w:tr w:rsidR="00AC21A7" w14:paraId="432A7C1B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8F13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9077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обізнаності населення та бізнесу щодо законності заготівлі деревини та експорту її за кордон.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E06D" w14:textId="77777777" w:rsidR="00AC21A7" w:rsidRPr="009C5B55" w:rsidRDefault="004B1E29" w:rsidP="003C163F">
            <w:pPr>
              <w:pStyle w:val="10"/>
              <w:tabs>
                <w:tab w:val="left" w:pos="9639"/>
              </w:tabs>
              <w:spacing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 боку населення за заготівлею деревини та експортом її за кордон. </w:t>
            </w:r>
          </w:p>
        </w:tc>
      </w:tr>
    </w:tbl>
    <w:p w14:paraId="4FE7EEBA" w14:textId="77777777" w:rsidR="00AC21A7" w:rsidRPr="003C163F" w:rsidRDefault="00AC21A7" w:rsidP="003C163F">
      <w:pPr>
        <w:pStyle w:val="10"/>
        <w:tabs>
          <w:tab w:val="left" w:pos="9639"/>
        </w:tabs>
        <w:spacing w:line="240" w:lineRule="auto"/>
        <w:ind w:right="333"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0FBE2406" w14:textId="77777777" w:rsidR="00AC21A7" w:rsidRDefault="00AC21A7" w:rsidP="003C163F">
      <w:pPr>
        <w:pStyle w:val="10"/>
        <w:tabs>
          <w:tab w:val="left" w:pos="9639"/>
        </w:tabs>
        <w:ind w:right="333" w:firstLine="709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0C78B47A" w14:textId="77777777" w:rsidR="00AC21A7" w:rsidRPr="009C5B55" w:rsidRDefault="004B1E29" w:rsidP="003C163F">
      <w:pPr>
        <w:pStyle w:val="10"/>
        <w:tabs>
          <w:tab w:val="left" w:pos="9639"/>
        </w:tabs>
        <w:ind w:right="3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B55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Державного агентства </w:t>
      </w:r>
    </w:p>
    <w:p w14:paraId="0DB06BF0" w14:textId="77777777" w:rsidR="00AC21A7" w:rsidRDefault="004B1E29" w:rsidP="003C163F">
      <w:pPr>
        <w:pStyle w:val="10"/>
        <w:tabs>
          <w:tab w:val="left" w:pos="9639"/>
        </w:tabs>
        <w:ind w:right="3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B55">
        <w:rPr>
          <w:rFonts w:ascii="Times New Roman" w:eastAsia="Times New Roman" w:hAnsi="Times New Roman" w:cs="Times New Roman"/>
          <w:b/>
          <w:sz w:val="28"/>
          <w:szCs w:val="28"/>
        </w:rPr>
        <w:t>лісових ресурсів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9C5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9C5B55">
        <w:rPr>
          <w:rFonts w:ascii="Times New Roman" w:eastAsia="Times New Roman" w:hAnsi="Times New Roman" w:cs="Times New Roman"/>
          <w:b/>
          <w:sz w:val="28"/>
          <w:szCs w:val="28"/>
        </w:rPr>
        <w:t>Віктор СМАЛЬ</w:t>
      </w:r>
    </w:p>
    <w:p w14:paraId="442991D5" w14:textId="77777777" w:rsidR="00AC21A7" w:rsidRPr="003C163F" w:rsidRDefault="00AC21A7" w:rsidP="003C163F">
      <w:pPr>
        <w:pStyle w:val="10"/>
        <w:tabs>
          <w:tab w:val="left" w:pos="9639"/>
        </w:tabs>
        <w:ind w:right="33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9CC6256" w14:textId="77777777" w:rsidR="00AC21A7" w:rsidRDefault="004B1E29" w:rsidP="003C163F">
      <w:pPr>
        <w:pStyle w:val="10"/>
        <w:tabs>
          <w:tab w:val="left" w:pos="9639"/>
        </w:tabs>
        <w:ind w:right="33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___ ______________ 2025 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AC21A7" w:rsidSect="00763CF9">
      <w:headerReference w:type="default" r:id="rId6"/>
      <w:headerReference w:type="first" r:id="rId7"/>
      <w:footerReference w:type="first" r:id="rId8"/>
      <w:pgSz w:w="12240" w:h="15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CD91" w14:textId="77777777" w:rsidR="00DE2612" w:rsidRDefault="00DE2612" w:rsidP="00AC21A7">
      <w:pPr>
        <w:spacing w:line="240" w:lineRule="auto"/>
      </w:pPr>
      <w:r>
        <w:separator/>
      </w:r>
    </w:p>
  </w:endnote>
  <w:endnote w:type="continuationSeparator" w:id="0">
    <w:p w14:paraId="7A060D22" w14:textId="77777777" w:rsidR="00DE2612" w:rsidRDefault="00DE2612" w:rsidP="00AC2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CF14" w14:textId="77777777" w:rsidR="00AC21A7" w:rsidRDefault="00AC21A7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16552" w14:textId="77777777" w:rsidR="00DE2612" w:rsidRDefault="00DE2612" w:rsidP="00AC21A7">
      <w:pPr>
        <w:spacing w:line="240" w:lineRule="auto"/>
      </w:pPr>
      <w:r>
        <w:separator/>
      </w:r>
    </w:p>
  </w:footnote>
  <w:footnote w:type="continuationSeparator" w:id="0">
    <w:p w14:paraId="1AF71E92" w14:textId="77777777" w:rsidR="00DE2612" w:rsidRDefault="00DE2612" w:rsidP="00AC2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AEB7" w14:textId="77777777" w:rsidR="00AC21A7" w:rsidRDefault="00AC21A7">
    <w:pPr>
      <w:pStyle w:val="1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 w:rsidR="004B1E29"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75624D">
      <w:rPr>
        <w:rFonts w:ascii="Times New Roman" w:eastAsia="Times New Roman" w:hAnsi="Times New Roman" w:cs="Times New Roman"/>
        <w:noProof/>
        <w:sz w:val="28"/>
        <w:szCs w:val="28"/>
      </w:rPr>
      <w:t>7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83B6" w14:textId="77777777" w:rsidR="00AC21A7" w:rsidRDefault="00AC21A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7"/>
    <w:rsid w:val="00164520"/>
    <w:rsid w:val="0017027F"/>
    <w:rsid w:val="001F3AAA"/>
    <w:rsid w:val="00264DF5"/>
    <w:rsid w:val="002C4380"/>
    <w:rsid w:val="003458F3"/>
    <w:rsid w:val="003C163F"/>
    <w:rsid w:val="004B1E29"/>
    <w:rsid w:val="006A7093"/>
    <w:rsid w:val="006B6D43"/>
    <w:rsid w:val="0074154C"/>
    <w:rsid w:val="0075624D"/>
    <w:rsid w:val="00763CF9"/>
    <w:rsid w:val="007F1C06"/>
    <w:rsid w:val="009C5B55"/>
    <w:rsid w:val="00A80EC7"/>
    <w:rsid w:val="00AB6E68"/>
    <w:rsid w:val="00AC21A7"/>
    <w:rsid w:val="00CD0B32"/>
    <w:rsid w:val="00CE26E4"/>
    <w:rsid w:val="00DE2612"/>
    <w:rsid w:val="00E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450D"/>
  <w15:docId w15:val="{3F1EEB0A-6FA7-46CF-A1D4-DAE7472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C21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AC21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AC21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AC21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AC21A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AC21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C21A7"/>
  </w:style>
  <w:style w:type="table" w:customStyle="1" w:styleId="TableNormal">
    <w:name w:val="Table Normal"/>
    <w:rsid w:val="00AC21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21A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AC21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C21A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8846</Words>
  <Characters>5043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Ауріка Анатоліїв Маліновська</dc:creator>
  <cp:lastModifiedBy>Ауріка Анатоліївна Маліновська</cp:lastModifiedBy>
  <cp:revision>2</cp:revision>
  <dcterms:created xsi:type="dcterms:W3CDTF">2025-03-06T15:36:00Z</dcterms:created>
  <dcterms:modified xsi:type="dcterms:W3CDTF">2025-03-06T15:36:00Z</dcterms:modified>
</cp:coreProperties>
</file>